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0"/>
          <w:szCs w:val="30"/>
        </w:rPr>
        <w:t xml:space="preserve">PROJECT TEMPEST</w:t>
      </w:r>
    </w:p>
    <w:p>
      <w:pPr>
        <w:spacing w:after="60"/>
        <w:jc w:val="center"/>
      </w:pPr>
      <w:r>
        <w:rPr>
          <w:b/>
          <w:bCs/>
          <w:sz w:val="24"/>
          <w:szCs w:val="24"/>
        </w:rPr>
        <w:t xml:space="preserve">SERIES B PREFERRED SHARE INVESTMENT — TERM SHEET</w:t>
      </w:r>
    </w:p>
    <w:p>
      <w:pPr>
        <w:spacing w:after="200"/>
        <w:jc w:val="center"/>
      </w:pPr>
      <w:r>
        <w:rPr>
          <w:sz w:val="20"/>
          <w:szCs w:val="20"/>
        </w:rPr>
        <w:t xml:space="preserve">Calderwell Mobility Limited (the “Company”)</w:t>
      </w:r>
    </w:p>
    <w:p>
      <w:pPr>
        <w:spacing w:after="120"/>
      </w:pPr>
      <w:r>
        <w:rPr>
          <w:i/>
          <w:iCs/>
          <w:sz w:val="19"/>
          <w:szCs w:val="19"/>
        </w:rPr>
        <w:t xml:space="preserve">This term sheet dated 27 October 2025 summarises the principal terms of the proposed Series B investment in the Company. Save for the paragraphs headed Exclusivity, Costs, Confidentiality and Governing Law (which are binding), this term sheet is not legally binding and is subject to contract, satisfactory due diligence and final documentation.</w:t>
      </w:r>
    </w:p>
    <w:p>
      <w:pPr>
        <w:pStyle w:val="Heading1"/>
      </w:pPr>
      <w:r>
        <w:t xml:space="preserve">1.  Transaction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Term</w:t>
            </w:r>
          </w:p>
        </w:tc>
        <w:tc>
          <w:tcPr>
            <w:tcW w:type="dxa" w:w="65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Detail</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Company</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Calderwell Mobility Limited (registered in England &amp; Wales, no. 12880417)</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Business</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Design and manufacture of electric commercial-vehicle drivetrains and fleet-electrification management software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Round</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Series B Preferred</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Pre-money valuation</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£42,000,000 (fully diluted, including an enlarged option pool — see paragraph 6)</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New money</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£18,000,000</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Post-money valuation</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£60,000,000</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Price per share</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£3.00 per Series B Preferred Share</w:t>
            </w:r>
          </w:p>
        </w:tc>
      </w:tr>
      <w:tr>
        <w:tc>
          <w:tcPr>
            <w:tcW w:type="dxa" w:w="28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New Series B shares</w:t>
            </w:r>
          </w:p>
        </w:tc>
        <w:tc>
          <w:tcPr>
            <w:tcW w:type="dxa" w:w="65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 Series B Preferred Shares</w:t>
            </w:r>
          </w:p>
        </w:tc>
      </w:tr>
    </w:tbl>
    <w:p>
      <w:pPr>
        <w:pStyle w:val="Heading1"/>
      </w:pPr>
      <w:r>
        <w:t xml:space="preserve">2.  Investors and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80"/>
        <w:gridCol w:w="1680"/>
      </w:tblGrid>
      <w:tr>
        <w:tc>
          <w:tcPr>
            <w:tcW w:type="dxa" w:w="3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Investor</w:t>
            </w:r>
          </w:p>
        </w:tc>
        <w:tc>
          <w:tcPr>
            <w:tcW w:type="dxa" w:w="22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Role</w:t>
            </w:r>
          </w:p>
        </w:tc>
        <w:tc>
          <w:tcPr>
            <w:tcW w:type="dxa" w:w="188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Commitment (£)</w:t>
            </w:r>
          </w:p>
        </w:tc>
        <w:tc>
          <w:tcPr>
            <w:tcW w:type="dxa" w:w="168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Shares</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Marisdale Growth Partners LLP</w:t>
            </w:r>
          </w:p>
        </w:tc>
        <w:tc>
          <w:tcPr>
            <w:tcW w:type="dxa" w:w="2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Lead investor</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Westbridge Growth Capital LLP</w:t>
            </w:r>
          </w:p>
        </w:tc>
        <w:tc>
          <w:tcPr>
            <w:tcW w:type="dxa" w:w="2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Co-investor</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Total</w:t>
            </w:r>
          </w:p>
        </w:tc>
        <w:tc>
          <w:tcPr>
            <w:tcW w:type="dxa" w:w="22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
            </w:r>
          </w:p>
        </w:tc>
        <w:tc>
          <w:tcPr>
            <w:tcW w:type="dxa" w:w="1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18,000,000</w:t>
            </w:r>
          </w:p>
        </w:tc>
        <w:tc>
          <w:tcPr>
            <w:tcW w:type="dxa" w:w="16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6,000,000</w:t>
            </w:r>
          </w:p>
        </w:tc>
      </w:tr>
    </w:tbl>
    <w:p>
      <w:pPr>
        <w:spacing w:after="120"/>
      </w:pPr>
      <w:r>
        <w:t xml:space="preserve">Marisdale’s investment is conditional on Westbridge subscribing for the full co-investment amount at completion, and vice versa.</w:t>
      </w:r>
    </w:p>
    <w:p>
      <w:pPr>
        <w:pStyle w:val="Heading1"/>
      </w:pPr>
      <w:r>
        <w:t xml:space="preserve">3.  Liquidation preference</w:t>
      </w:r>
    </w:p>
    <w:p>
      <w:pPr>
        <w:spacing w:after="120"/>
      </w:pPr>
      <w:r>
        <w:t xml:space="preserve">Each Series B Preferred Share carries a 1x non-participating liquidation preference. On a return of capital, sale or winding-up (a “Liquidity Event”), each holder of Series B Preferred Shares receives the greater of (a) one times the subscription price (£3.00 per share) plus any declared but unpaid dividends, and (b) the amount it would receive if its Series B Preferred Shares had converted into Ordinary Shares. The Series B preference ranks ahead of the Series A and Seed preferences and the Ordinary Shares.</w:t>
      </w:r>
    </w:p>
    <w:p>
      <w:pPr>
        <w:pStyle w:val="Heading1"/>
      </w:pPr>
      <w:r>
        <w:t xml:space="preserve">4.  Anti-dilution</w:t>
      </w:r>
    </w:p>
    <w:p>
      <w:pPr>
        <w:spacing w:after="120"/>
      </w:pPr>
      <w:r>
        <w:t xml:space="preserve">The Series B Preferred Shares benefit from broad-based weighted-average anti-dilution protection in the event of a down-round issue below £3.00 per share, subject to customary carve-outs (including the option pool, shares issued on conversion, and shares issued under agreed acquisitions).</w:t>
      </w:r>
    </w:p>
    <w:p>
      <w:pPr>
        <w:pStyle w:val="Heading1"/>
      </w:pPr>
      <w:r>
        <w:t xml:space="preserve">5.  Dividends and conversion</w:t>
      </w:r>
    </w:p>
    <w:p>
      <w:pPr>
        <w:pStyle w:val="ListParagraph"/>
        <w:numPr>
          <w:ilvl w:val="0"/>
          <w:numId w:val="2"/>
        </w:numPr>
        <w:spacing w:after="80"/>
      </w:pPr>
      <w:r>
        <w:t xml:space="preserve">Dividends: the Series B Preferred Shares carry a non-cumulative dividend right but no fixed coupon; no dividend may be paid on the Ordinary Shares unless an equivalent per-share dividend is paid on the Preferred Shares on an as-converted basis.</w:t>
      </w:r>
    </w:p>
    <w:p>
      <w:pPr>
        <w:pStyle w:val="ListParagraph"/>
        <w:numPr>
          <w:ilvl w:val="0"/>
          <w:numId w:val="2"/>
        </w:numPr>
        <w:spacing w:after="80"/>
      </w:pPr>
      <w:r>
        <w:t xml:space="preserve">Conversion: each Series B Preferred Share converts into one Ordinary Share at the option of the holder, and automatically on a Qualifying IPO (gross proceeds of at least £50 million and a pre-money valuation of at least £150 million) or on the written election of holders of at least 60% of the Series B Preferred Shares.</w:t>
      </w:r>
    </w:p>
    <w:p>
      <w:pPr>
        <w:pStyle w:val="Heading1"/>
      </w:pPr>
      <w:r>
        <w:t xml:space="preserve">6.  Option pool</w:t>
      </w:r>
    </w:p>
    <w:p>
      <w:pPr>
        <w:spacing w:after="120"/>
      </w:pPr>
      <w:r>
        <w:t xml:space="preserve">Immediately prior to completion the Company will have an employee share option pool equal to 7.0% of the fully diluted pre-money share capital (1,400,000 shares reserved on a fully diluted base of 14,000,000 shares pre-money). The cost of establishing this pool is borne by the existing shareholders (i.e. it is included in the pre-money valuation).</w:t>
      </w:r>
    </w:p>
    <w:p>
      <w:pPr>
        <w:pStyle w:val="Heading1"/>
      </w:pPr>
      <w:r>
        <w:t xml:space="preserve">7.  Board and governance</w:t>
      </w:r>
    </w:p>
    <w:p>
      <w:pPr>
        <w:pStyle w:val="ListParagraph"/>
        <w:numPr>
          <w:ilvl w:val="0"/>
          <w:numId w:val="2"/>
        </w:numPr>
        <w:spacing w:after="80"/>
      </w:pPr>
      <w:r>
        <w:t xml:space="preserve">The board will comprise five directors: two founder directors, one director appointed by Marisdale (the lead investor), one director appointed by the holders of a majority of the Series A Preferred Shares (Calderbrook), and one independent non-executive director appointed by agreement between the founders and Marisdale.</w:t>
      </w:r>
    </w:p>
    <w:p>
      <w:pPr>
        <w:pStyle w:val="ListParagraph"/>
        <w:numPr>
          <w:ilvl w:val="0"/>
          <w:numId w:val="2"/>
        </w:numPr>
        <w:spacing w:after="80"/>
      </w:pPr>
      <w:r>
        <w:t xml:space="preserve">Westbridge will have observer rights but no board appointment right while it holds less than 5% of the fully diluted equity.</w:t>
      </w:r>
    </w:p>
    <w:p>
      <w:pPr>
        <w:pStyle w:val="ListParagraph"/>
        <w:numPr>
          <w:ilvl w:val="0"/>
          <w:numId w:val="2"/>
        </w:numPr>
        <w:spacing w:after="80"/>
      </w:pPr>
      <w:r>
        <w:t xml:space="preserve">Quorum for board meetings requires the presence of the Marisdale director (or their alternate).</w:t>
      </w:r>
    </w:p>
    <w:p>
      <w:pPr>
        <w:pStyle w:val="Heading1"/>
      </w:pPr>
      <w:r>
        <w:t xml:space="preserve">8.  Investor consent matters</w:t>
      </w:r>
    </w:p>
    <w:p>
      <w:pPr>
        <w:spacing w:after="120"/>
      </w:pPr>
      <w:r>
        <w:t xml:space="preserve">The following matters will require the prior written consent of holders of at least 60% of the Series B Preferred Shares (which must include Marisdale), in addition to any other approvals required by law:</w:t>
      </w:r>
    </w:p>
    <w:p>
      <w:pPr>
        <w:pStyle w:val="ListParagraph"/>
        <w:numPr>
          <w:ilvl w:val="0"/>
          <w:numId w:val="3"/>
        </w:numPr>
        <w:spacing w:after="80"/>
      </w:pPr>
      <w:r>
        <w:t xml:space="preserve">any sale of the Company, listing, or material disposal of assets;</w:t>
      </w:r>
    </w:p>
    <w:p>
      <w:pPr>
        <w:pStyle w:val="ListParagraph"/>
        <w:numPr>
          <w:ilvl w:val="0"/>
          <w:numId w:val="3"/>
        </w:numPr>
        <w:spacing w:after="80"/>
      </w:pPr>
      <w:r>
        <w:t xml:space="preserve">any alteration of the share capital or rights attaching to any class of shares;</w:t>
      </w:r>
    </w:p>
    <w:p>
      <w:pPr>
        <w:pStyle w:val="ListParagraph"/>
        <w:numPr>
          <w:ilvl w:val="0"/>
          <w:numId w:val="3"/>
        </w:numPr>
        <w:spacing w:after="80"/>
      </w:pPr>
      <w:r>
        <w:t xml:space="preserve">the creation of any security or borrowing in excess of £1,000,000 in aggregate;</w:t>
      </w:r>
    </w:p>
    <w:p>
      <w:pPr>
        <w:pStyle w:val="ListParagraph"/>
        <w:numPr>
          <w:ilvl w:val="0"/>
          <w:numId w:val="3"/>
        </w:numPr>
        <w:spacing w:after="80"/>
      </w:pPr>
      <w:r>
        <w:t xml:space="preserve">any change to the size or composition of the board, or to the option pool;</w:t>
      </w:r>
    </w:p>
    <w:p>
      <w:pPr>
        <w:pStyle w:val="ListParagraph"/>
        <w:numPr>
          <w:ilvl w:val="0"/>
          <w:numId w:val="3"/>
        </w:numPr>
        <w:spacing w:after="80"/>
      </w:pPr>
      <w:r>
        <w:t xml:space="preserve">the acquisition or disposal of any business, or any capital expenditure exceeding £500,000 not in the approved budget;</w:t>
      </w:r>
    </w:p>
    <w:p>
      <w:pPr>
        <w:pStyle w:val="ListParagraph"/>
        <w:numPr>
          <w:ilvl w:val="0"/>
          <w:numId w:val="3"/>
        </w:numPr>
        <w:spacing w:after="80"/>
      </w:pPr>
      <w:r>
        <w:t xml:space="preserve">the appointment or removal of the auditors or any change to the accounting reference date; and</w:t>
      </w:r>
    </w:p>
    <w:p>
      <w:pPr>
        <w:pStyle w:val="ListParagraph"/>
        <w:numPr>
          <w:ilvl w:val="0"/>
          <w:numId w:val="3"/>
        </w:numPr>
        <w:spacing w:after="80"/>
      </w:pPr>
      <w:r>
        <w:t xml:space="preserve">the declaration or payment of any dividend.</w:t>
      </w:r>
    </w:p>
    <w:p>
      <w:pPr>
        <w:pStyle w:val="Heading1"/>
      </w:pPr>
      <w:r>
        <w:t xml:space="preserve">9.  Founder arrangements</w:t>
      </w:r>
    </w:p>
    <w:p>
      <w:pPr>
        <w:pStyle w:val="ListParagraph"/>
        <w:numPr>
          <w:ilvl w:val="0"/>
          <w:numId w:val="2"/>
        </w:numPr>
        <w:spacing w:after="80"/>
      </w:pPr>
      <w:r>
        <w:t xml:space="preserve">Founder shares (Dr Daniel Calderwell and Sophie Lindqvist) will be subject to reverse vesting over the unvested portion: 50% deemed vested at completion, the balance vesting monthly over 24 months, with good-leaver / bad-leaver provisions and acceleration of 50% of unvested shares on an involuntary departure following a change of control.</w:t>
      </w:r>
    </w:p>
    <w:p>
      <w:pPr>
        <w:pStyle w:val="ListParagraph"/>
        <w:numPr>
          <w:ilvl w:val="0"/>
          <w:numId w:val="2"/>
        </w:numPr>
        <w:spacing w:after="80"/>
      </w:pPr>
      <w:r>
        <w:t xml:space="preserve">The founders will give business warranties in the subscription agreement, subject to a cap of £2,000,000 each and the limitations in paragraph 11.</w:t>
      </w:r>
    </w:p>
    <w:p>
      <w:pPr>
        <w:pStyle w:val="ListParagraph"/>
        <w:numPr>
          <w:ilvl w:val="0"/>
          <w:numId w:val="2"/>
        </w:numPr>
        <w:spacing w:after="80"/>
      </w:pPr>
      <w:r>
        <w:t xml:space="preserve">The founders will enter into 12-month non-compete and non-solicit covenants.</w:t>
      </w:r>
    </w:p>
    <w:p>
      <w:pPr>
        <w:pStyle w:val="Heading1"/>
      </w:pPr>
      <w:r>
        <w:t xml:space="preserve">10.  Pre-emption, transfers and exit</w:t>
      </w:r>
    </w:p>
    <w:p>
      <w:pPr>
        <w:pStyle w:val="ListParagraph"/>
        <w:numPr>
          <w:ilvl w:val="0"/>
          <w:numId w:val="2"/>
        </w:numPr>
        <w:spacing w:after="80"/>
      </w:pPr>
      <w:r>
        <w:t xml:space="preserve">Pre-emption on new issues and on transfers, with customary permitted-transfer carve-outs for the investors’ affiliates and fund transfers.</w:t>
      </w:r>
    </w:p>
    <w:p>
      <w:pPr>
        <w:pStyle w:val="ListParagraph"/>
        <w:numPr>
          <w:ilvl w:val="0"/>
          <w:numId w:val="2"/>
        </w:numPr>
        <w:spacing w:after="80"/>
      </w:pPr>
      <w:r>
        <w:t xml:space="preserve">Drag-along on a sale approved by holders of 60% of the shares (as converted) and the Marisdale director; tag-along for minority holders.</w:t>
      </w:r>
    </w:p>
    <w:p>
      <w:pPr>
        <w:pStyle w:val="ListParagraph"/>
        <w:numPr>
          <w:ilvl w:val="0"/>
          <w:numId w:val="2"/>
        </w:numPr>
        <w:spacing w:after="80"/>
      </w:pPr>
      <w:r>
        <w:t xml:space="preserve">Information rights: monthly management accounts, an annual board-approved budget, and audited annual accounts, for so long as an investor (with its affiliates) holds at least 3% of the equity.</w:t>
      </w:r>
    </w:p>
    <w:p>
      <w:pPr>
        <w:pStyle w:val="Heading1"/>
      </w:pPr>
      <w:r>
        <w:t xml:space="preserve">11.  Warranties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Limitation</w:t>
            </w:r>
          </w:p>
        </w:tc>
        <w:tc>
          <w:tcPr>
            <w:tcW w:type="dxa" w:w="59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Position</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Warranty cap (Company)</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An amount equal to the subscription proceeds (£18,000,000)</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Warranty cap (each founder)</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£2,000,000</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De minimis (per claim)</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£25,000</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Threshold (aggregate basket)</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£150,000 (then recoverable from the first £1)</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Time limit — general warranties</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18 months from completion</w:t>
            </w:r>
          </w:p>
        </w:tc>
      </w:tr>
      <w:tr>
        <w:tc>
          <w:tcPr>
            <w:tcW w:type="dxa" w:w="34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Time limit — fundamental &amp; tax warranties</w:t>
            </w:r>
          </w:p>
        </w:tc>
        <w:tc>
          <w:tcPr>
            <w:tcW w:type="dxa" w:w="5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7 years from completion</w:t>
            </w:r>
          </w:p>
        </w:tc>
      </w:tr>
    </w:tbl>
    <w:p>
      <w:pPr>
        <w:pStyle w:val="Heading1"/>
      </w:pPr>
      <w:r>
        <w:t xml:space="preserve">12.  Conditions, exclusivity and costs</w:t>
      </w:r>
    </w:p>
    <w:p>
      <w:pPr>
        <w:pStyle w:val="ListParagraph"/>
        <w:numPr>
          <w:ilvl w:val="0"/>
          <w:numId w:val="2"/>
        </w:numPr>
        <w:spacing w:after="80"/>
      </w:pPr>
      <w:r>
        <w:t xml:space="preserve">Conditions to completion: satisfactory legal and financial due diligence; adoption of amended articles; entry into the subscription and investor rights agreements; delivery of the disclosure letter; board and shareholder approvals; and receipt of the subscription monies.</w:t>
      </w:r>
    </w:p>
    <w:p>
      <w:pPr>
        <w:pStyle w:val="ListParagraph"/>
        <w:numPr>
          <w:ilvl w:val="0"/>
          <w:numId w:val="2"/>
        </w:numPr>
        <w:spacing w:after="80"/>
      </w:pPr>
      <w:r>
        <w:t xml:space="preserve">Exclusivity (binding): the Company grants the investors a 45-day period of exclusivity from the date of this term sheet, during which it will not solicit or negotiate any alternative financing.</w:t>
      </w:r>
    </w:p>
    <w:p>
      <w:pPr>
        <w:pStyle w:val="ListParagraph"/>
        <w:numPr>
          <w:ilvl w:val="0"/>
          <w:numId w:val="2"/>
        </w:numPr>
        <w:spacing w:after="80"/>
      </w:pPr>
      <w:r>
        <w:t xml:space="preserve">Costs (binding): each party bears its own costs, save that, conditional on completion, the Company will contribute up to £75,000 to its own legal fees and up to £45,000 to the lead investor’s legal fees (in each case excluding VAT).</w:t>
      </w:r>
    </w:p>
    <w:p>
      <w:pPr>
        <w:pStyle w:val="Heading1"/>
      </w:pPr>
      <w:r>
        <w:t xml:space="preserve">13.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Milestone</w:t>
            </w:r>
          </w:p>
        </w:tc>
        <w:tc>
          <w:tcPr>
            <w:tcW w:type="dxa" w:w="3760"/>
            <w:tcBorders>
              <w:top w:val="single" w:color="AAAAAA" w:sz="1"/>
              <w:left w:val="single" w:color="AAAAAA" w:sz="1"/>
              <w:bottom w:val="single" w:color="AAAAAA" w:sz="1"/>
              <w:right w:val="single" w:color="AAAAAA" w:sz="1"/>
            </w:tcBorders>
            <w:shd w:fill="1F4E5F" w:val="clear"/>
            <w:tcMar>
              <w:top w:type="dxa" w:w="60"/>
              <w:left w:type="dxa" w:w="110"/>
              <w:bottom w:type="dxa" w:w="60"/>
              <w:right w:type="dxa" w:w="110"/>
            </w:tcMar>
          </w:tcPr>
          <w:p>
            <w:r>
              <w:rPr>
                <w:b/>
                <w:bCs/>
                <w:color w:val="FFFFFF"/>
                <w:sz w:val="19"/>
                <w:szCs w:val="19"/>
              </w:rPr>
              <w:t xml:space="preserve">Indicative date</w:t>
            </w:r>
          </w:p>
        </w:tc>
      </w:tr>
      <w:tr>
        <w:tc>
          <w:tcPr>
            <w:tcW w:type="dxa" w:w="5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Term sheet signed</w:t>
            </w:r>
          </w:p>
        </w:tc>
        <w:tc>
          <w:tcPr>
            <w:tcW w:type="dxa" w:w="3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27 October 2025</w:t>
            </w:r>
          </w:p>
        </w:tc>
      </w:tr>
      <w:tr>
        <w:tc>
          <w:tcPr>
            <w:tcW w:type="dxa" w:w="5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Due diligence complete</w:t>
            </w:r>
          </w:p>
        </w:tc>
        <w:tc>
          <w:tcPr>
            <w:tcW w:type="dxa" w:w="3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12 December 2025</w:t>
            </w:r>
          </w:p>
        </w:tc>
      </w:tr>
      <w:tr>
        <w:tc>
          <w:tcPr>
            <w:tcW w:type="dxa" w:w="5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First drafts circulated</w:t>
            </w:r>
          </w:p>
        </w:tc>
        <w:tc>
          <w:tcPr>
            <w:tcW w:type="dxa" w:w="3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21 November 2025</w:t>
            </w:r>
          </w:p>
        </w:tc>
      </w:tr>
      <w:tr>
        <w:tc>
          <w:tcPr>
            <w:tcW w:type="dxa" w:w="5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Signing</w:t>
            </w:r>
          </w:p>
        </w:tc>
        <w:tc>
          <w:tcPr>
            <w:tcW w:type="dxa" w:w="3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30 January 2026</w:t>
            </w:r>
          </w:p>
        </w:tc>
      </w:tr>
      <w:tr>
        <w:tc>
          <w:tcPr>
            <w:tcW w:type="dxa" w:w="5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Completion</w:t>
            </w:r>
          </w:p>
        </w:tc>
        <w:tc>
          <w:tcPr>
            <w:tcW w:type="dxa" w:w="3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19"/>
                <w:szCs w:val="19"/>
              </w:rPr>
              <w:t xml:space="preserve">6 February 2026</w:t>
            </w:r>
          </w:p>
        </w:tc>
      </w:tr>
    </w:tbl>
    <w:p>
      <w:pPr>
        <w:pStyle w:val="Heading1"/>
      </w:pPr>
      <w:r>
        <w:t xml:space="preserve">14.  Confidentiality and governing law (binding)</w:t>
      </w:r>
    </w:p>
    <w:p>
      <w:pPr>
        <w:spacing w:after="120"/>
      </w:pPr>
      <w:r>
        <w:t xml:space="preserve">The existence and terms of this term sheet are confidential. This term sheet and any dispute arising out of it are governed by English law and the parties submit to the exclusive jurisdiction of the English courts.</w:t>
      </w:r>
    </w:p>
    <w:p>
      <w:pPr>
        <w:spacing w:before="360"/>
      </w:pPr>
      <w:r>
        <w:rPr>
          <w:b/>
          <w:bCs/>
        </w:rPr>
        <w:t xml:space="preserve">Agreed in principle:</w:t>
      </w:r>
    </w:p>
    <w:p>
      <w:pPr>
        <w:spacing w:after="120"/>
      </w:pPr>
      <w:r>
        <w:t xml:space="preserve">For Calderwell Mobility Limited:  ...................................   (Dr Daniel Calderwell, CEO)</w:t>
      </w:r>
    </w:p>
    <w:p>
      <w:pPr>
        <w:spacing w:after="120"/>
      </w:pPr>
      <w:r>
        <w:t xml:space="preserve">For Marisdale Growth Partners LLP:  ...................................   (Eleanor Whitmore, Partner)</w:t>
      </w:r>
    </w:p>
    <w:p>
      <w:pPr>
        <w:spacing w:after="120"/>
      </w:pPr>
      <w:r>
        <w:t xml:space="preserve">For Westbridge Growth Capital LLP:  ...................................   (authorised signatory)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888888"/>
        <w:sz w:val="15"/>
        <w:szCs w:val="15"/>
      </w:rPr>
      <w:t xml:space="preserve">WC-00185 / Project Tempest — Term Sheet  —  Confidential and may be legally privileged.</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5F"/>
        <w:sz w:val="30"/>
        <w:szCs w:val="30"/>
      </w:rPr>
      <w:t xml:space="preserve">Whitfield Carter LLP</w:t>
    </w:r>
  </w:p>
  <w:p>
    <w:pPr>
      <w:pBdr>
        <w:bottom w:val="single" w:color="1F4E5F" w:sz="6" w:space="2"/>
      </w:pBdr>
      <w:spacing w:after="200"/>
    </w:pPr>
    <w:r>
      <w:rPr>
        <w:color w:val="666666"/>
        <w:sz w:val="16"/>
        <w:szCs w:val="16"/>
      </w:rPr>
      <w:t xml:space="preserve">22 Bishopsgate, London EC2N 4BQ  •  www.whitfieldcarter.com  •  +44 (0)20 7946 0500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432"/>
      </w:pPr>
    </w:lvl>
  </w:abstractNum>
  <w:abstractNum w:abstractNumId="4" w15:restartNumberingAfterBreak="0">
    <w:multiLevelType w:val="hybridMultilevel"/>
    <w:lvl w:ilvl="0" w15:tentative="1">
      <w:start w:val="1"/>
      <w:numFmt w:val="lowerRoman"/>
      <w:lvlText w:val="(%1)"/>
      <w:lvlJc w:val="righ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Arial" w:cs="Arial" w:eastAsia="Arial" w:hAnsi="Arial"/>
      <w:b/>
      <w:bCs/>
      <w:color w:val="1F4E5F"/>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2026-06-29T18:53:34.108Z</dcterms:created>
  <dcterms:modified xsi:type="dcterms:W3CDTF">2026-06-29T18:53:34.108Z</dcterms:modified>
</cp:coreProperties>
</file>

<file path=docProps/custom.xml><?xml version="1.0" encoding="utf-8"?>
<Properties xmlns="http://schemas.openxmlformats.org/officeDocument/2006/custom-properties" xmlns:vt="http://schemas.openxmlformats.org/officeDocument/2006/docPropsVTypes"/>
</file>