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sz w:val="26"/>
          <w:szCs w:val="26"/>
        </w:rPr>
        <w:t xml:space="preserve">Calverton Industries Limited v Ferncliffe Alloys Limited</w:t>
      </w:r>
    </w:p>
    <w:p>
      <w:pPr>
        <w:spacing w:after="40" w:before="0"/>
        <w:jc w:val="center"/>
      </w:pPr>
      <w:r>
        <w:rPr>
          <w:b/>
          <w:bCs/>
          <w:sz w:val="22"/>
          <w:szCs w:val="22"/>
        </w:rPr>
        <w:t xml:space="preserve">Claim No. HT-2025-000412 — Chronology</w:t>
      </w:r>
    </w:p>
    <w:p>
      <w:pPr>
        <w:spacing w:after="200" w:before="0"/>
        <w:jc w:val="center"/>
      </w:pPr>
      <w:r>
        <w:rPr>
          <w:i/>
          <w:iCs/>
          <w:sz w:val="18"/>
          <w:szCs w:val="18"/>
        </w:rPr>
        <w:t xml:space="preserve">Prepared by Whitfield Carter LLP — for internal use and case management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60"/>
        <w:gridCol w:w="10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14.03.2022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Framework Supply Agreement between Calverton and Ferncliffe executed.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02.05.2023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Three-year supply contract between Calverton and Wexbourne Retail Group for CDF-316 marine fasteners.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B/18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08.01.2024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PO-2024-0112 placed (16mm, heat H-4318).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B/30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26.02.2024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PO-2024-0188 placed (12/20mm, heats H-4402, H-4419).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B/33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09.04.2024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PO-2024-0241 placed (16mm, heats H-4471, H-4472).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B/36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19.06.2024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PO-2024-0307 placed (20mm, heat H-4488).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B/39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Aug 2024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field reports of premature corrosion / fastener failure received by Calverton.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B/52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Sep–Nov 2024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Calverton quarantines affected stock; commences field replacement and recall.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B/60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11.12.2024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Wexbourne terminates supply contract citing quality failures.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B/74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2025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Calverton instructs Wraysbury Materials Laboratory to test retained bar and failed assemblies.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B/80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05.09.2025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Wraysbury Report: bar from H-4471, H-4472, H-4488 found to be non-conforming (low Mo, low PREN).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B/112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09.09.2025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Whitfield Carter LLP instructed by Calverton.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17.10.2025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Letter before action sent to Ferncliffe.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C/1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06.11.2025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Birchall Stone LLP responds for Ferncliffe; liability denied.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C/9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18.12.2025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 Form and Particulars of Claim issued (HT-2025-000412).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A/1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13.02.2026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Defence served.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A/40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09.04.2026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Costs and Case Management Conference; directions to trial.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A/55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Witness statements of David Okoro and Andrew Calverton signed.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D/1, D/24</w:t>
            </w:r>
          </w:p>
        </w:tc>
      </w:tr>
    </w:tbl>
    <w:p>
      <w:pPr>
        <w:spacing w:after="120" w:before="160"/>
      </w:pPr>
      <w:r>
        <w:rPr>
          <w:i/>
          <w:iCs/>
          <w:sz w:val="18"/>
          <w:szCs w:val="18"/>
        </w:rPr>
        <w:t xml:space="preserve">Note: references are to the proposed trial bundle structure (A: statements of case; B: contemporaneous documents; C: pre-action correspondence; D: witness statements). This chronology is a working document and will be updated as the matter progresses.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1"/>
      </w:pBdr>
      <w:spacing w:after="0" w:before="60"/>
    </w:pPr>
    <w:r>
      <w:rPr>
        <w:color w:val="808080"/>
        <w:sz w:val="14"/>
        <w:szCs w:val="14"/>
      </w:rPr>
      <w:t xml:space="preserve">Whitfield Carter LLP is a limited liability partnership registered in England and Wales (OC394821). Authorised and regulated by the Solicitors Regulation Authority. Confidential and may be legally privileged.</w:t>
    </w:r>
  </w:p>
  <w:p>
    <w:pPr>
      <w:spacing w:before="40"/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2026-06-26T11:12:03.270Z</dcterms:created>
  <dcterms:modified xsi:type="dcterms:W3CDTF">2026-06-26T11:12:03.270Z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