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595959"/>
          <w:sz w:val="18"/>
          <w:szCs w:val="18"/>
        </w:rPr>
        <w:t xml:space="preserve">22 Bishopsgate, London EC2N 4BQ</w:t>
      </w:r>
    </w:p>
    <w:p>
      <w:pPr>
        <w:spacing w:after="60"/>
        <w:jc w:val="right"/>
      </w:pPr>
      <w:r>
        <w:rPr>
          <w:color w:val="595959"/>
          <w:sz w:val="18"/>
          <w:szCs w:val="18"/>
        </w:rPr>
        <w:t xml:space="preserve">T +44 (0)20 7946 0123   www.whitfieldcarter.com</w:t>
      </w:r>
    </w:p>
    <w:p>
      <w:pPr>
        <w:pBdr>
          <w:bottom w:val="single" w:color="1F3864" w:sz="12" w:space="1"/>
        </w:pBdr>
        <w:spacing w:after="200"/>
      </w:pPr>
    </w:p>
    <w:p>
      <w:pPr>
        <w:spacing w:after="120" w:before="0"/>
      </w:pPr>
      <w:r>
        <w:rPr>
          <w:b/>
          <w:bCs/>
          <w:sz w:val="18"/>
          <w:szCs w:val="18"/>
        </w:rPr>
        <w:t xml:space="preserve">Strictly private and confidential</w:t>
      </w:r>
    </w:p>
    <w:p>
      <w:pPr>
        <w:spacing w:after="160" w:before="0"/>
      </w:pPr>
      <w:r>
        <w:rPr>
          <w:i/>
          <w:iCs/>
          <w:sz w:val="18"/>
          <w:szCs w:val="18"/>
        </w:rPr>
        <w:t xml:space="preserve">By email and post</w:t>
      </w:r>
    </w:p>
    <w:p>
      <w:pPr>
        <w:spacing w:after="120" w:before="0"/>
      </w:pPr>
      <w:r>
        <w:t xml:space="preserve">Ms Patricia Vaughan</w:t>
      </w:r>
    </w:p>
    <w:p>
      <w:pPr>
        <w:spacing w:after="120" w:before="0"/>
      </w:pPr>
      <w:r>
        <w:t xml:space="preserve">General Counsel &amp; Company Secretary</w:t>
      </w:r>
    </w:p>
    <w:p>
      <w:pPr>
        <w:spacing w:after="120" w:before="0"/>
      </w:pPr>
      <w:r>
        <w:t xml:space="preserve">Calverton Industries Limited</w:t>
      </w:r>
    </w:p>
    <w:p>
      <w:pPr>
        <w:spacing w:after="120" w:before="0"/>
      </w:pPr>
      <w:r>
        <w:t xml:space="preserve">Brookfield Works, Tame Valley Industrial Estate</w:t>
      </w:r>
    </w:p>
    <w:p>
      <w:pPr>
        <w:spacing w:after="160" w:before="0"/>
      </w:pPr>
      <w:r>
        <w:t xml:space="preserve">Wednesbury, West Midlands WS10 7DF</w:t>
      </w:r>
    </w:p>
    <w:p>
      <w:pPr>
        <w:spacing w:after="0" w:before="0"/>
      </w:pPr>
      <w:r>
        <w:t xml:space="preserve">Our ref: TG/SW/CALV-0140        </w:t>
      </w:r>
    </w:p>
    <w:p>
      <w:pPr>
        <w:spacing w:after="200" w:before="0"/>
      </w:pPr>
      <w:r>
        <w:t xml:space="preserve">9 September 2025</w:t>
      </w:r>
    </w:p>
    <w:p>
      <w:pPr>
        <w:spacing w:after="160" w:before="0"/>
      </w:pPr>
      <w:r>
        <w:t xml:space="preserve">Dear Patricia</w:t>
      </w:r>
    </w:p>
    <w:p>
      <w:pPr>
        <w:spacing w:after="160" w:before="0"/>
      </w:pPr>
      <w:r>
        <w:rPr>
          <w:b/>
          <w:bCs/>
        </w:rPr>
        <w:t xml:space="preserve">Calverton Industries Limited – potential claim against Ferncliffe Alloys Limited (supply of non-conforming 316L stainless steel bar)</w:t>
      </w:r>
    </w:p>
    <w:p>
      <w:pPr>
        <w:spacing w:after="120" w:before="0"/>
      </w:pPr>
      <w:r>
        <w:t xml:space="preserve">Thank you for instructing Whitfield Carter LLP in connection with the above matter. This letter, together with the enclosed terms of business, sets out the basis on which we will act for Calverton Industries Limited (“the Company” or “you”). Please read it carefully and let me know if anything is unclear.</w:t>
      </w:r>
    </w:p>
    <w:p>
      <w:pPr>
        <w:pStyle w:val="Heading2"/>
      </w:pPr>
      <w:r>
        <w:t xml:space="preserve">1. Scope of our engagement</w:t>
      </w:r>
    </w:p>
    <w:p>
      <w:pPr>
        <w:spacing w:after="120" w:before="0"/>
      </w:pPr>
      <w:r>
        <w:t xml:space="preserve">We are instructed to advise the Company in relation to a potential contractual claim against Ferncliffe Alloys Limited (“Ferncliffe”) arising from Ferncliffe’s supply of 316L austenitic stainless steel bar to the Company between January and June 2024 under purchase orders placed against Ferncliffe’s framework supply agreement dated 14 March 2022. The Company’s case is that a quantity of the bar supplied did not conform to the contractual specification (in particular, as to grade, pitting-resistance and minimum proof strength), that non-conforming bar was machined into marine deck-fastener assemblies, and that those assemblies failed in service, giving rise to a product recall and consequential losses.</w:t>
      </w:r>
    </w:p>
    <w:p>
      <w:pPr>
        <w:spacing w:after="120" w:before="0"/>
      </w:pPr>
      <w:r>
        <w:t xml:space="preserve">Our initial scope comprises: (a) reviewing the supply contract, purchase orders, certificates of conformity and mill test certificates; (b) advising on the merits of a claim in contract and under the Sale of Goods Act 1979; (c) drafting and sending a letter before action in accordance with the Pre-Action Protocol for Construction and Engineering Disputes / the Practice Direction on Pre-Action Conduct; and (d) advising on quantum and the prospects of recovery. If the matter proceeds to the issue of proceedings, we will agree a further scope and fee estimate with you before doing so.</w:t>
      </w:r>
    </w:p>
    <w:p>
      <w:pPr>
        <w:pStyle w:val="Heading2"/>
      </w:pPr>
      <w:r>
        <w:t xml:space="preserve">2. People responsible for your work</w:t>
      </w:r>
    </w:p>
    <w:p>
      <w:pPr>
        <w:spacing w:after="120" w:before="0"/>
      </w:pPr>
      <w:r>
        <w:t xml:space="preserve">The partner with overall responsibility for this matter is Sarah Whitfield. The day-to-day conduct of the matter will be handled by Tom Gallagher (Associate, Dispute Resolution), supported where appropriate by Elena Marchetti (Associate). You may contact Tom on +44 (0)20 7946 0148 or at tom.gallagher@whitfieldcarter.com.</w:t>
      </w:r>
    </w:p>
    <w:p>
      <w:pPr>
        <w:pStyle w:val="Heading2"/>
      </w:pPr>
      <w:r>
        <w:t xml:space="preserve">3. Our fees and disbursements</w:t>
      </w:r>
    </w:p>
    <w:p>
      <w:pPr>
        <w:spacing w:after="120" w:before="0"/>
      </w:pPr>
      <w:r>
        <w:t xml:space="preserve">Our fees are calculated principally by reference to the time spent on your matter. The current hourly rates (exclusive of VAT) for the individuals likely to work on this matter are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20"/>
                <w:szCs w:val="20"/>
              </w:rPr>
              <w:t xml:space="preserve">Fee earner</w:t>
            </w:r>
          </w:p>
        </w:tc>
        <w:tc>
          <w:tcPr>
            <w:tcW w:type="dxa" w:w="3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20"/>
                <w:szCs w:val="20"/>
              </w:rPr>
              <w:t xml:space="preserve">Position</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right"/>
            </w:pPr>
            <w:r>
              <w:rPr>
                <w:b/>
                <w:bCs/>
                <w:color w:val="FFFFFF"/>
                <w:sz w:val="20"/>
                <w:szCs w:val="20"/>
              </w:rPr>
              <w:t xml:space="preserve">Hourly rate (£)</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Sarah Whitfield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Partner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650</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Tom Gallagher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Associate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395</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Elena Marchetti</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Associate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350</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Trainee / paralegal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Support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210</w:t>
            </w:r>
          </w:p>
        </w:tc>
      </w:tr>
    </w:tbl>
    <w:p>
      <w:pPr>
        <w:spacing w:after="120" w:before="0"/>
      </w:pPr>
      <w:r>
        <w:t xml:space="preserve">We estimate our fees for the initial scope described in paragraph 1 (to the conclusion of the pre-action correspondence and an advice on merits and quantum) will be in the region of £38,000 to £52,000 plus VAT and disbursements. This is an estimate and not a fixed fee or cap. Likely disbursements include counsel’s fees, expert metallurgical fees and, if proceedings are issued, court fees (the issue fee on a claim of this value being £10,000).</w:t>
      </w:r>
    </w:p>
    <w:p>
      <w:pPr>
        <w:spacing w:after="120" w:before="0"/>
      </w:pPr>
      <w:r>
        <w:t xml:space="preserve">We will render interim invoices monthly. Our invoices are payable within 14 days of the date of the invoice. We may ask you to make a payment on account of fees and disbursements; we currently hold no such payment and would be grateful for £10,000 on account to open the matter.</w:t>
      </w:r>
    </w:p>
    <w:p>
      <w:pPr>
        <w:pStyle w:val="Heading2"/>
      </w:pPr>
      <w:r>
        <w:t xml:space="preserve">4. Funding and recoverability</w:t>
      </w:r>
    </w:p>
    <w:p>
      <w:pPr>
        <w:spacing w:after="120" w:before="0"/>
      </w:pPr>
      <w:r>
        <w:t xml:space="preserve">If the claim is successful, the general rule is that the unsuccessful party is ordered to pay a proportion of the successful party’s costs (typically 60–75% of costs reasonably incurred). You will remain liable to us for our fees in full regardless of any costs order, and we cannot guarantee recovery of any particular sum. We have discussed, and you have confirmed that you do not at this stage wish us to explore, after-the-event insurance or third-party funding; we can revisit this if proceedings are contemplated.</w:t>
      </w:r>
    </w:p>
    <w:p>
      <w:pPr>
        <w:pStyle w:val="Heading2"/>
      </w:pPr>
      <w:r>
        <w:t xml:space="preserve">5. Conflicts, confidentiality and data protection</w:t>
      </w:r>
    </w:p>
    <w:p>
      <w:pPr>
        <w:spacing w:after="120" w:before="0"/>
      </w:pPr>
      <w:r>
        <w:t xml:space="preserve">We have carried out a conflict check and are not aware of any conflict of interest preventing us from acting. We will keep your affairs confidential save where disclosure is required by law or regulation. We process personal data in accordance with our privacy notice (available on our website) and the UK GDPR.</w:t>
      </w:r>
    </w:p>
    <w:p>
      <w:pPr>
        <w:pStyle w:val="Heading2"/>
      </w:pPr>
      <w:r>
        <w:t xml:space="preserve">6. Money laundering and identification</w:t>
      </w:r>
    </w:p>
    <w:p>
      <w:pPr>
        <w:spacing w:after="120" w:before="0"/>
      </w:pPr>
      <w:r>
        <w:t xml:space="preserve">We are required to verify the identity of our clients. We hold satisfactory electronic verification for the Company. Please notify us promptly of any change to the Company’s ownership or control.</w:t>
      </w:r>
    </w:p>
    <w:p>
      <w:pPr>
        <w:pStyle w:val="Heading2"/>
      </w:pPr>
      <w:r>
        <w:t xml:space="preserve">7. Storage of papers and termination</w:t>
      </w:r>
    </w:p>
    <w:p>
      <w:pPr>
        <w:spacing w:after="120" w:before="0"/>
      </w:pPr>
      <w:r>
        <w:t xml:space="preserve">You may end our engagement at any time by writing to us. We may decline to act further only on reasonable notice and for good reason. After completing the matter we will keep the file for a minimum of seven years and may then destroy it without further reference to you.</w:t>
      </w:r>
    </w:p>
    <w:p>
      <w:pPr>
        <w:pStyle w:val="Heading2"/>
      </w:pPr>
      <w:r>
        <w:t xml:space="preserve">8. Regulatory information and complaints</w:t>
      </w:r>
    </w:p>
    <w:p>
      <w:pPr>
        <w:spacing w:after="120" w:before="0"/>
      </w:pPr>
      <w:r>
        <w:t xml:space="preserve">Whitfield Carter LLP is authorised and regulated by the Solicitors Regulation Authority (SRA number 597214). If you are unhappy with our service or a bill, please raise it with Tom in the first instance; if we cannot resolve matters, you may be entitled to complain to the Legal Ombudsman.</w:t>
      </w:r>
    </w:p>
    <w:p>
      <w:pPr>
        <w:spacing w:after="120" w:before="120"/>
      </w:pPr>
      <w:r>
        <w:t xml:space="preserve">Please confirm your agreement to the terms of this letter and the enclosed terms of business by signing and returning the enclosed copy, or by email confirmation. We look forward to working with you.</w:t>
      </w:r>
    </w:p>
    <w:p>
      <w:pPr>
        <w:spacing w:after="320" w:before="200"/>
      </w:pPr>
      <w:r>
        <w:t xml:space="preserve">Yours sincerely</w:t>
      </w:r>
    </w:p>
    <w:p>
      <w:pPr>
        <w:spacing w:after="0" w:before="0"/>
      </w:pPr>
      <w:r>
        <w:rPr>
          <w:b/>
          <w:bCs/>
        </w:rPr>
        <w:t xml:space="preserve">Sarah Whitfield</w:t>
      </w:r>
    </w:p>
    <w:p>
      <w:pPr>
        <w:spacing w:after="200" w:before="0"/>
      </w:pPr>
      <w:r>
        <w:t xml:space="preserve">Partner, for and on behalf of Whitfield Carter LLP</w:t>
      </w:r>
    </w:p>
    <w:p>
      <w:pPr>
        <w:spacing w:after="120" w:before="0"/>
      </w:pPr>
      <w:r>
        <w:rPr>
          <w:i/>
          <w:iCs/>
          <w:sz w:val="18"/>
          <w:szCs w:val="18"/>
        </w:rPr>
        <w:t xml:space="preserve">Enc. Terms of Business; copy of this letter for signature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2026-06-26T11:09:01.922Z</dcterms:created>
  <dcterms:modified xsi:type="dcterms:W3CDTF">2026-06-26T11:09:01.923Z</dcterms:modified>
</cp:coreProperties>
</file>

<file path=docProps/custom.xml><?xml version="1.0" encoding="utf-8"?>
<Properties xmlns="http://schemas.openxmlformats.org/officeDocument/2006/custom-properties" xmlns:vt="http://schemas.openxmlformats.org/officeDocument/2006/docPropsVTypes"/>
</file>