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595959"/>
          <w:sz w:val="18"/>
          <w:szCs w:val="18"/>
        </w:rPr>
        <w:t xml:space="preserve">22 Bishopsgate, London EC2N 4BQ</w:t>
      </w:r>
    </w:p>
    <w:p>
      <w:pPr>
        <w:spacing w:after="60"/>
        <w:jc w:val="right"/>
      </w:pPr>
      <w:r>
        <w:rPr>
          <w:color w:val="595959"/>
          <w:sz w:val="18"/>
          <w:szCs w:val="18"/>
        </w:rPr>
        <w:t xml:space="preserve">T +44 (0)20 7946 0123   www.whitfieldcarter.com</w:t>
      </w:r>
    </w:p>
    <w:p>
      <w:pPr>
        <w:pBdr>
          <w:bottom w:val="single" w:color="1F3864" w:sz="12" w:space="1"/>
        </w:pBdr>
        <w:spacing w:after="200"/>
      </w:pPr>
    </w:p>
    <w:p>
      <w:pPr>
        <w:spacing w:after="120" w:before="0"/>
      </w:pPr>
      <w:r>
        <w:rPr>
          <w:b/>
          <w:bCs/>
          <w:sz w:val="18"/>
          <w:szCs w:val="18"/>
        </w:rPr>
        <w:t xml:space="preserve">Private and confidential</w:t>
      </w:r>
    </w:p>
    <w:p>
      <w:pPr>
        <w:spacing w:after="160" w:before="0"/>
      </w:pPr>
      <w:r>
        <w:rPr>
          <w:i/>
          <w:iCs/>
          <w:sz w:val="18"/>
          <w:szCs w:val="18"/>
        </w:rPr>
        <w:t xml:space="preserve">By email (gerald.doyle@ferncliffealloys.co.uk) and recorded delivery</w:t>
      </w:r>
    </w:p>
    <w:p>
      <w:pPr>
        <w:spacing w:after="120" w:before="0"/>
      </w:pPr>
      <w:r>
        <w:t xml:space="preserve">The Directors</w:t>
      </w:r>
    </w:p>
    <w:p>
      <w:pPr>
        <w:spacing w:after="120" w:before="0"/>
      </w:pPr>
      <w:r>
        <w:t xml:space="preserve">Ferncliffe Alloys Limited</w:t>
      </w:r>
    </w:p>
    <w:p>
      <w:pPr>
        <w:spacing w:after="120" w:before="0"/>
      </w:pPr>
      <w:r>
        <w:t xml:space="preserve">Crucible House, Foundry Lane</w:t>
      </w:r>
    </w:p>
    <w:p>
      <w:pPr>
        <w:spacing w:after="160" w:before="0"/>
      </w:pPr>
      <w:r>
        <w:t xml:space="preserve">Sheffield S9 2AB</w:t>
      </w:r>
    </w:p>
    <w:p>
      <w:pPr>
        <w:spacing w:after="0" w:before="0"/>
      </w:pPr>
      <w:r>
        <w:t xml:space="preserve">Our ref: TG/SW/CALV-0140        Your ref: –</w:t>
      </w:r>
    </w:p>
    <w:p>
      <w:pPr>
        <w:spacing w:after="200" w:before="0"/>
      </w:pPr>
      <w:r>
        <w:t xml:space="preserve">17 October 2025</w:t>
      </w:r>
    </w:p>
    <w:p>
      <w:pPr>
        <w:spacing w:after="160" w:before="0"/>
      </w:pPr>
      <w:r>
        <w:t xml:space="preserve">Dear Sirs</w:t>
      </w:r>
    </w:p>
    <w:p>
      <w:pPr>
        <w:spacing w:after="80" w:before="0"/>
        <w:jc w:val="center"/>
      </w:pPr>
      <w:r>
        <w:rPr>
          <w:b/>
          <w:bCs/>
        </w:rPr>
        <w:t xml:space="preserve">LETTER BEFORE ACTION</w:t>
      </w:r>
    </w:p>
    <w:p>
      <w:pPr>
        <w:spacing w:after="80" w:before="0"/>
        <w:jc w:val="center"/>
      </w:pPr>
      <w:r>
        <w:rPr>
          <w:b/>
          <w:bCs/>
        </w:rPr>
        <w:t xml:space="preserve">Calverton Industries Limited v Ferncliffe Alloys Limited</w:t>
      </w:r>
    </w:p>
    <w:p>
      <w:pPr>
        <w:spacing w:after="160" w:before="0"/>
        <w:jc w:val="center"/>
      </w:pPr>
      <w:r>
        <w:rPr>
          <w:b/>
          <w:bCs/>
        </w:rPr>
        <w:t xml:space="preserve">Supply of non-conforming 316L stainless steel bar – claim in contract and under the Sale of Goods Act 1979</w:t>
      </w:r>
    </w:p>
    <w:p>
      <w:pPr>
        <w:spacing w:after="120" w:before="0"/>
      </w:pPr>
      <w:r>
        <w:t xml:space="preserve">We act for Calverton Industries Limited (company number 02844117) of Brookfield Works, Tame Valley Industrial Estate, Wednesbury WS10 7DF (“Our Client”). This is a letter before claim sent in accordance with the Practice Direction on Pre-Action Conduct and Protocols. Please read it carefully and pass it to your insurers and legal advisers without delay.</w:t>
      </w:r>
    </w:p>
    <w:p>
      <w:pPr>
        <w:pStyle w:val="Heading2"/>
      </w:pPr>
      <w:r>
        <w:t xml:space="preserve">The parties and the contract</w:t>
      </w:r>
    </w:p>
    <w:p>
      <w:pPr>
        <w:pStyle w:val="ListParagraph"/>
        <w:numPr>
          <w:ilvl w:val="0"/>
          <w:numId w:val="2"/>
        </w:numPr>
        <w:spacing w:after="120"/>
      </w:pPr>
      <w:r>
        <w:t xml:space="preserve">Our Client is a manufacturer of precision industrial fasteners and fluid-handling components. You are a stockholder and supplier of stainless and special-steel bar.</w:t>
      </w:r>
    </w:p>
    <w:p>
      <w:pPr>
        <w:pStyle w:val="ListParagraph"/>
        <w:numPr>
          <w:ilvl w:val="0"/>
          <w:numId w:val="2"/>
        </w:numPr>
        <w:spacing w:after="120"/>
      </w:pPr>
      <w:r>
        <w:t xml:space="preserve">By a framework supply agreement dated 14 March 2022 (“the Supply Agreement”), you agreed to supply our Client with stainless steel bar to specifications notified in individual purchase orders. The Supply Agreement provides at clause 6 that all goods will conform to the specification stated in the relevant purchase order and to the applicable BS EN / ASTM standards, and at clause 9 that each delivery will be accompanied by a valid mill test certificate (EN 10204 type 3.1).</w:t>
      </w:r>
    </w:p>
    <w:p>
      <w:pPr>
        <w:pStyle w:val="ListParagraph"/>
        <w:numPr>
          <w:ilvl w:val="0"/>
          <w:numId w:val="2"/>
        </w:numPr>
        <w:spacing w:after="120"/>
      </w:pPr>
      <w:r>
        <w:t xml:space="preserve">Between 8 January and 19 June 2024 our Client placed and you fulfilled a series of purchase orders (PO-2024-0112, PO-2024-0188, PO-2024-0241 and PO-2024-0307) for a total of 41.6 tonnes of grade 316L stainless steel bar in diameters of 12mm, 16mm and 20mm, specified to ASTM A276 / BS EN 10088-3 with a minimum 0.2% proof strength of 200 N/mm² and molybdenum content of 2.0–3.0%.</w:t>
      </w:r>
    </w:p>
    <w:p>
      <w:pPr>
        <w:pStyle w:val="Heading2"/>
      </w:pPr>
      <w:r>
        <w:t xml:space="preserve">The defects</w:t>
      </w:r>
    </w:p>
    <w:p>
      <w:pPr>
        <w:pStyle w:val="ListParagraph"/>
        <w:numPr>
          <w:ilvl w:val="0"/>
          <w:numId w:val="2"/>
        </w:numPr>
        <w:spacing w:after="120"/>
      </w:pPr>
      <w:r>
        <w:t xml:space="preserve">Our Client incorporated the bar into Type CDF-316 marine deck-fastener assemblies supplied to its customer, Wexbourne Retail Group Limited (“Wexbourne”), and to other marine and offshore customers. From August 2024 our Client received field reports of premature corrosion and fastener head failure on assemblies in service in coastal and marine environments.</w:t>
      </w:r>
    </w:p>
    <w:p>
      <w:pPr>
        <w:pStyle w:val="ListParagraph"/>
        <w:numPr>
          <w:ilvl w:val="0"/>
          <w:numId w:val="2"/>
        </w:numPr>
        <w:spacing w:after="120"/>
      </w:pPr>
      <w:r>
        <w:t xml:space="preserve">Our Client commissioned independent metallurgical testing from Wraysbury Materials Laboratory. Testing of retained bar and failed assemblies from purchase orders PO-2024-0241 and PO-2024-0307 (heat numbers H-4471, H-4472 and H-4488) found: (a) molybdenum content of 1.1–1.4%, materially below the 2.0% minimum for 316L and consistent with grade 304/304L rather than 316L; (b) a measured pitting resistance equivalent number (PREN) of approximately 18, well below the value expected of conforming 316L; and (c) 0.2% proof strength below the specified 200 N/mm² in two of five samples. Wraysbury’s report dated 5 September 2025 concludes that the bar from those heats was not 316L and was not fit for marine service.</w:t>
      </w:r>
    </w:p>
    <w:p>
      <w:pPr>
        <w:pStyle w:val="ListParagraph"/>
        <w:numPr>
          <w:ilvl w:val="0"/>
          <w:numId w:val="2"/>
        </w:numPr>
        <w:spacing w:after="120"/>
      </w:pPr>
      <w:r>
        <w:t xml:space="preserve">The mill test certificates you supplied for heats H-4471, H-4472 and H-4488 stated a molybdenum content of 2.1–2.2% and certified the bar as 316L. Those certificates do not reflect the material actually supplied and were relied upon by our Client.</w:t>
      </w:r>
    </w:p>
    <w:p>
      <w:pPr>
        <w:pStyle w:val="Heading2"/>
      </w:pPr>
      <w:r>
        <w:t xml:space="preserve">Breaches alleged</w:t>
      </w:r>
    </w:p>
    <w:p>
      <w:pPr>
        <w:pStyle w:val="ListParagraph"/>
        <w:numPr>
          <w:ilvl w:val="0"/>
          <w:numId w:val="2"/>
        </w:numPr>
        <w:spacing w:after="120"/>
      </w:pPr>
      <w:r>
        <w:t xml:space="preserve">By supplying bar that was not 316L and did not meet the specified chemical composition, corrosion resistance and proof strength, you were in breach of: (a) clause 6 of the Supply Agreement; (b) the implied term as to description under section 13 of the Sale of Goods Act 1979; and (c) the implied terms as to satisfactory quality and fitness for purpose under section 14(2) and 14(3) of that Act, our Client’s purpose (use in marine fastener assemblies) having been made known to you.</w:t>
      </w:r>
    </w:p>
    <w:p>
      <w:pPr>
        <w:pStyle w:val="Heading2"/>
      </w:pPr>
      <w:r>
        <w:t xml:space="preserve">Loss and damage</w:t>
      </w:r>
    </w:p>
    <w:p>
      <w:pPr>
        <w:pStyle w:val="ListParagraph"/>
        <w:numPr>
          <w:ilvl w:val="0"/>
          <w:numId w:val="2"/>
        </w:numPr>
        <w:spacing w:after="120"/>
      </w:pPr>
      <w:r>
        <w:t xml:space="preserve">As a result of your breaches our Client has suffered loss including: (a) the cost of investigating and testing the failures; (b) the cost of the recall and replacement of affected assemblies in the field; (c) credits, rework and scrap; (d) the loss of the Wexbourne supply contract, terminated on 11 December 2024; and (e) management time. Our Client’s loss currently exceeds £1.9 million. A detailed schedule of loss will follow but the principal heads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left"/>
            </w:pPr>
            <w:r>
              <w:rPr>
                <w:b/>
                <w:bCs/>
                <w:color w:val="FFFFFF"/>
                <w:sz w:val="20"/>
                <w:szCs w:val="20"/>
              </w:rPr>
              <w:t xml:space="preserve">Head of loss</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spacing w:after="0"/>
              <w:jc w:val="right"/>
            </w:pPr>
            <w:r>
              <w:rPr>
                <w:b/>
                <w:bCs/>
                <w:color w:val="FFFFFF"/>
                <w:sz w:val="20"/>
                <w:szCs w:val="20"/>
              </w:rPr>
              <w:t xml:space="preserve">Amount (£)</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Investigation, testing and metallurgy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84,500</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Recall and field replacement (labour, parts, logistics)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612,000</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Scrap, rework and customer credits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298,400</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Lost profit – Wexbourne contract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865,000</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Management time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62,500</w:t>
            </w:r>
          </w:p>
        </w:tc>
      </w:tr>
      <w:tr>
        <w:trPr>
          <w:tblHeader w:val="false"/>
        </w:trPr>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left"/>
            </w:pPr>
            <w:r>
              <w:rPr>
                <w:b w:val="false"/>
                <w:bCs w:val="false"/>
                <w:color w:val="000000"/>
                <w:sz w:val="20"/>
                <w:szCs w:val="20"/>
              </w:rPr>
              <w:t xml:space="preserve">Total (excluding interest and costs)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jc w:val="right"/>
            </w:pPr>
            <w:r>
              <w:rPr>
                <w:b w:val="false"/>
                <w:bCs w:val="false"/>
                <w:color w:val="000000"/>
                <w:sz w:val="20"/>
                <w:szCs w:val="20"/>
              </w:rPr>
              <w:t xml:space="preserve">1,922,400</w:t>
            </w:r>
          </w:p>
        </w:tc>
      </w:tr>
    </w:tbl>
    <w:p>
      <w:pPr>
        <w:pStyle w:val="Heading2"/>
      </w:pPr>
      <w:r>
        <w:t xml:space="preserve">Documents</w:t>
      </w:r>
    </w:p>
    <w:p>
      <w:pPr>
        <w:spacing w:after="120" w:before="0"/>
      </w:pPr>
      <w:r>
        <w:t xml:space="preserve">We enclose by way of early disclosure: the Supply Agreement; the four purchase orders; the mill test certificates for the affected heats; and the executive summary of the Wraysbury report. We ask you to preserve all documents relating to the manufacture, sourcing, testing and certification of the bar supplied under the above purchase orders, including all correspondence with your own mill or sub-suppliers.</w:t>
      </w:r>
    </w:p>
    <w:p>
      <w:pPr>
        <w:pStyle w:val="Heading2"/>
      </w:pPr>
      <w:r>
        <w:t xml:space="preserve">What we require</w:t>
      </w:r>
    </w:p>
    <w:p>
      <w:pPr>
        <w:pStyle w:val="ListParagraph"/>
        <w:numPr>
          <w:ilvl w:val="0"/>
          <w:numId w:val="2"/>
        </w:numPr>
        <w:spacing w:after="120"/>
      </w:pPr>
      <w:r>
        <w:t xml:space="preserve">We require you, within 14 days of the date of this letter, to acknowledge receipt and to confirm the identity of your insurers. We require a full written response in accordance with the Practice Direction within 21 days thereafter, stating whether liability is admitted and, if not, the basis on which it is denied, together with copies of the documents on which you rely.</w:t>
      </w:r>
    </w:p>
    <w:p>
      <w:pPr>
        <w:pStyle w:val="ListParagraph"/>
        <w:numPr>
          <w:ilvl w:val="0"/>
          <w:numId w:val="2"/>
        </w:numPr>
        <w:spacing w:after="120"/>
      </w:pPr>
      <w:r>
        <w:t xml:space="preserve">Our Client would prefer to resolve this matter without the need for proceedings and is willing to consider alternative dispute resolution, including mediation. However, if we do not receive a satisfactory response within the time stated, our Client reserves the right to issue proceedings without further notice and to rely on this letter on the question of costs.</w:t>
      </w:r>
    </w:p>
    <w:p>
      <w:pPr>
        <w:spacing w:after="120" w:before="120"/>
      </w:pPr>
      <w:r>
        <w:t xml:space="preserve">This letter is written openly and may be referred to in any proceedings. We look forward to hearing from you.</w:t>
      </w:r>
    </w:p>
    <w:p>
      <w:pPr>
        <w:spacing w:after="320" w:before="200"/>
      </w:pPr>
      <w:r>
        <w:t xml:space="preserve">Yours faithfully</w:t>
      </w:r>
    </w:p>
    <w:p>
      <w:pPr>
        <w:spacing w:after="200" w:before="0"/>
      </w:pPr>
      <w:r>
        <w:rPr>
          <w:b/>
          <w:bCs/>
        </w:rPr>
        <w:t xml:space="preserve">Whitfield Carter LLP</w:t>
      </w:r>
    </w:p>
    <w:p>
      <w:pPr>
        <w:spacing w:after="120" w:before="0"/>
      </w:pPr>
      <w:r>
        <w:rPr>
          <w:i/>
          <w:iCs/>
          <w:sz w:val="18"/>
          <w:szCs w:val="18"/>
        </w:rPr>
        <w:t xml:space="preserve">Enc. as listed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2026-06-26T11:09:02.003Z</dcterms:created>
  <dcterms:modified xsi:type="dcterms:W3CDTF">2026-06-26T11:09:02.003Z</dcterms:modified>
</cp:coreProperties>
</file>

<file path=docProps/custom.xml><?xml version="1.0" encoding="utf-8"?>
<Properties xmlns="http://schemas.openxmlformats.org/officeDocument/2006/custom-properties" xmlns:vt="http://schemas.openxmlformats.org/officeDocument/2006/docPropsVTypes"/>
</file>