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rPr>
        <w:t xml:space="preserve">IN THE HIGH COURT OF JUSTICE</w:t>
      </w:r>
    </w:p>
    <w:p>
      <w:pPr>
        <w:spacing w:after="60" w:before="0"/>
        <w:jc w:val="center"/>
      </w:pPr>
      <w:r>
        <w:t xml:space="preserve">BUSINESS AND PROPERTY COURTS OF ENGLAND AND WALES</w:t>
      </w:r>
    </w:p>
    <w:p>
      <w:pPr>
        <w:spacing w:after="60" w:before="0"/>
        <w:jc w:val="center"/>
      </w:pPr>
      <w:r>
        <w:t xml:space="preserve">TECHNOLOGY AND CONSTRUCTION COURT (KBD)</w:t>
      </w:r>
    </w:p>
    <w:p>
      <w:pPr>
        <w:spacing w:after="120" w:before="0"/>
        <w:jc w:val="center"/>
      </w:pPr>
      <w:r>
        <w:t xml:space="preserve">Claim No. HT-2025-000412</w:t>
      </w:r>
    </w:p>
    <w:p>
      <w:pPr>
        <w:spacing w:after="120" w:before="0"/>
      </w:pPr>
      <w:r>
        <w:t xml:space="preserve">BETWEEN:</w:t>
      </w:r>
    </w:p>
    <w:p>
      <w:pPr>
        <w:spacing w:after="20" w:before="0"/>
        <w:jc w:val="center"/>
      </w:pPr>
      <w:r>
        <w:rPr>
          <w:b/>
          <w:bCs/>
        </w:rPr>
        <w:t xml:space="preserve">CALVERTON INDUSTRIES LIMITED</w:t>
      </w:r>
    </w:p>
    <w:p>
      <w:pPr>
        <w:spacing w:after="80" w:before="0"/>
        <w:jc w:val="center"/>
      </w:pPr>
      <w:r>
        <w:rPr>
          <w:i/>
          <w:iCs/>
        </w:rPr>
        <w:t xml:space="preserve">Claimant</w:t>
      </w:r>
    </w:p>
    <w:p>
      <w:pPr>
        <w:spacing w:after="80" w:before="0"/>
        <w:jc w:val="center"/>
      </w:pPr>
      <w:r>
        <w:t xml:space="preserve">- and -</w:t>
      </w:r>
    </w:p>
    <w:p>
      <w:pPr>
        <w:spacing w:after="20" w:before="0"/>
        <w:jc w:val="center"/>
      </w:pPr>
      <w:r>
        <w:rPr>
          <w:b/>
          <w:bCs/>
        </w:rPr>
        <w:t xml:space="preserve">FERNCLIFFE ALLOYS LIMITED</w:t>
      </w:r>
    </w:p>
    <w:p>
      <w:pPr>
        <w:spacing w:after="160" w:before="0"/>
        <w:jc w:val="center"/>
      </w:pPr>
      <w:r>
        <w:rPr>
          <w:i/>
          <w:iCs/>
        </w:rPr>
        <w:t xml:space="preserve">Defendant</w:t>
      </w:r>
    </w:p>
    <w:p>
      <w:pPr>
        <w:spacing w:after="200" w:before="0"/>
        <w:jc w:val="center"/>
      </w:pPr>
      <w:r>
        <w:rPr>
          <w:b/>
          <w:bCs/>
          <w:sz w:val="26"/>
          <w:szCs w:val="26"/>
        </w:rPr>
        <w:t xml:space="preserve">DEFENCE</w:t>
      </w:r>
    </w:p>
    <w:p>
      <w:pPr>
        <w:spacing w:after="120" w:before="0"/>
      </w:pPr>
      <w:r>
        <w:t xml:space="preserve">References in this Defence to paragraph numbers are to the paragraphs of the Particulars of Claim unless otherwise stated. Save as expressly admitted, the Defendant denies each and every allegation in the Particulars of Claim as if the same were set out and traversed seriatim.</w:t>
      </w:r>
    </w:p>
    <w:p>
      <w:pPr>
        <w:pStyle w:val="Heading2"/>
      </w:pPr>
      <w:r>
        <w:t xml:space="preserve">The parties and the Supply Agreement</w:t>
      </w:r>
    </w:p>
    <w:p>
      <w:pPr>
        <w:pStyle w:val="ListParagraph"/>
        <w:numPr>
          <w:ilvl w:val="0"/>
          <w:numId w:val="2"/>
        </w:numPr>
        <w:spacing w:after="120"/>
      </w:pPr>
      <w:r>
        <w:t xml:space="preserve">Paragraphs 1 and 2 are admitted.</w:t>
      </w:r>
    </w:p>
    <w:p>
      <w:pPr>
        <w:pStyle w:val="ListParagraph"/>
        <w:numPr>
          <w:ilvl w:val="0"/>
          <w:numId w:val="2"/>
        </w:numPr>
        <w:spacing w:after="120"/>
      </w:pPr>
      <w:r>
        <w:t xml:space="preserve">Paragraph 3 is admitted. It is admitted that the Defendant agreed to supply stainless steel bar to specifications notified in individual purchase orders.</w:t>
      </w:r>
    </w:p>
    <w:p>
      <w:pPr>
        <w:pStyle w:val="ListParagraph"/>
        <w:numPr>
          <w:ilvl w:val="0"/>
          <w:numId w:val="2"/>
        </w:numPr>
        <w:spacing w:after="120"/>
      </w:pPr>
      <w:r>
        <w:t xml:space="preserve">As to paragraph 4, the terms of the Supply Agreement are admitted insofar as they are accurately set out, but the Defendant avers that clause 6 must be read together with clause 11 (limitation of liability) and clause 12 (inspection and rejection), which required the Claimant to inspect the Goods within 10 working days of delivery and to notify any defect in writing within that period, failing which the Goods were deemed accepted.</w:t>
      </w:r>
    </w:p>
    <w:p>
      <w:pPr>
        <w:pStyle w:val="ListParagraph"/>
        <w:numPr>
          <w:ilvl w:val="0"/>
          <w:numId w:val="2"/>
        </w:numPr>
        <w:spacing w:after="120"/>
      </w:pPr>
      <w:r>
        <w:t xml:space="preserve">Paragraph 5 is admitted insofar as it sets out the express terms; the implied terms pleaded are admitted as a matter of law but their breach is denied.</w:t>
      </w:r>
    </w:p>
    <w:p>
      <w:pPr>
        <w:pStyle w:val="ListParagraph"/>
        <w:numPr>
          <w:ilvl w:val="0"/>
          <w:numId w:val="2"/>
        </w:numPr>
        <w:spacing w:after="120"/>
      </w:pPr>
      <w:r>
        <w:t xml:space="preserve">As to paragraph 6, it is admitted that the implied terms under sections 13, 14(2) and 14(3) of the Sale of Goods Act 1979 arose. It is not admitted that the Claimant made known to the Defendant the specific marine and offshore purpose now alleged; the Defendant supplied bar to a stated grade and standard and was not informed of the particular service conditions of the end products.</w:t>
      </w:r>
    </w:p>
    <w:p>
      <w:pPr>
        <w:pStyle w:val="Heading2"/>
      </w:pPr>
      <w:r>
        <w:t xml:space="preserve">The Purchase Orders and the Certificates</w:t>
      </w:r>
    </w:p>
    <w:p>
      <w:pPr>
        <w:pStyle w:val="ListParagraph"/>
        <w:numPr>
          <w:ilvl w:val="0"/>
          <w:numId w:val="2"/>
        </w:numPr>
        <w:spacing w:after="120"/>
      </w:pPr>
      <w:r>
        <w:t xml:space="preserve">Paragraph 8 is admitted as to the placing and fulfilment of the Purchase Orders and the quantities and diameters stated.</w:t>
      </w:r>
    </w:p>
    <w:p>
      <w:pPr>
        <w:pStyle w:val="ListParagraph"/>
        <w:numPr>
          <w:ilvl w:val="0"/>
          <w:numId w:val="2"/>
        </w:numPr>
        <w:spacing w:after="120"/>
      </w:pPr>
      <w:r>
        <w:t xml:space="preserve">As to paragraph 9, it is admitted that the Defendant supplied mill test certificates complying with EN 10204 type 3.1 with each delivery. The Defendant avers that those certificates were issued by the originating mill and were passed to the Claimant unaltered. The Defendant is a stockholder and was entitled to rely upon, and did rely upon, the certification provided by the mill.</w:t>
      </w:r>
    </w:p>
    <w:p>
      <w:pPr>
        <w:pStyle w:val="Heading2"/>
      </w:pPr>
      <w:r>
        <w:t xml:space="preserve">The alleged failures</w:t>
      </w:r>
    </w:p>
    <w:p>
      <w:pPr>
        <w:pStyle w:val="ListParagraph"/>
        <w:numPr>
          <w:ilvl w:val="0"/>
          <w:numId w:val="2"/>
        </w:numPr>
        <w:spacing w:after="120"/>
      </w:pPr>
      <w:r>
        <w:t xml:space="preserve">Paragraphs 10 and 11 are not admitted. The Defendant has no knowledge of the Claimant’s machining, finishing or onward supply of the Assemblies, or of the reports said to have been received from end users, and the Claimant is put to strict proof thereof.</w:t>
      </w:r>
    </w:p>
    <w:p>
      <w:pPr>
        <w:pStyle w:val="ListParagraph"/>
        <w:numPr>
          <w:ilvl w:val="0"/>
          <w:numId w:val="2"/>
        </w:numPr>
        <w:spacing w:after="120"/>
      </w:pPr>
      <w:r>
        <w:t xml:space="preserve">As to paragraph 12 and the Wraysbury Report, the Defendant does not admit the findings of the Report. The Defendant has not been afforded the opportunity to inspect the bar or Assemblies tested, to verify the chain of custody of the samples, or to review the methodology and full results of the testing. The Defendant reserves the right to amend this Defence and to adduce its own expert evidence following inspection and disclosure.</w:t>
      </w:r>
    </w:p>
    <w:p>
      <w:pPr>
        <w:pStyle w:val="ListParagraph"/>
        <w:numPr>
          <w:ilvl w:val="0"/>
          <w:numId w:val="2"/>
        </w:numPr>
        <w:spacing w:after="120"/>
      </w:pPr>
      <w:r>
        <w:t xml:space="preserve">Further or alternatively, if (which is denied) the bar tested was non-conforming, the Defendant avers that:</w:t>
      </w:r>
    </w:p>
    <w:p>
      <w:pPr>
        <w:pStyle w:val="ListParagraph"/>
        <w:numPr>
          <w:ilvl w:val="0"/>
          <w:numId w:val="3"/>
        </w:numPr>
        <w:spacing w:after="120"/>
      </w:pPr>
      <w:r>
        <w:t xml:space="preserve">any non-conformity is attributable to the originating mill and not to any act or omission of the Defendant;</w:t>
      </w:r>
    </w:p>
    <w:p>
      <w:pPr>
        <w:pStyle w:val="ListParagraph"/>
        <w:numPr>
          <w:ilvl w:val="0"/>
          <w:numId w:val="3"/>
        </w:numPr>
        <w:spacing w:after="120"/>
      </w:pPr>
      <w:r>
        <w:t xml:space="preserve">the alleged corrosion and failures may have been caused or contributed to by the Claimant’s own machining, heat treatment, surface finishing, passivation or installation of the Assemblies, and/or by the service environment, and not by the composition of the bar; and</w:t>
      </w:r>
    </w:p>
    <w:p>
      <w:pPr>
        <w:pStyle w:val="ListParagraph"/>
        <w:numPr>
          <w:ilvl w:val="0"/>
          <w:numId w:val="3"/>
        </w:numPr>
        <w:spacing w:after="120"/>
      </w:pPr>
      <w:r>
        <w:t xml:space="preserve">the Claimant failed to carry out any or any adequate goods-inwards inspection or positive material identification testing on receipt, contrary to clause 12 of the Supply Agreement and to good industry practice, and is by reason of clause 12 deemed to have accepted the Goods.</w:t>
      </w:r>
    </w:p>
    <w:p>
      <w:pPr>
        <w:pStyle w:val="Heading2"/>
      </w:pPr>
      <w:r>
        <w:t xml:space="preserve">Breach, causation and loss</w:t>
      </w:r>
    </w:p>
    <w:p>
      <w:pPr>
        <w:pStyle w:val="ListParagraph"/>
        <w:numPr>
          <w:ilvl w:val="0"/>
          <w:numId w:val="2"/>
        </w:numPr>
        <w:spacing w:after="120"/>
      </w:pPr>
      <w:r>
        <w:t xml:space="preserve">Paragraphs 13 and 14 are denied for the reasons given above.</w:t>
      </w:r>
    </w:p>
    <w:p>
      <w:pPr>
        <w:pStyle w:val="ListParagraph"/>
        <w:numPr>
          <w:ilvl w:val="0"/>
          <w:numId w:val="2"/>
        </w:numPr>
        <w:spacing w:after="120"/>
      </w:pPr>
      <w:r>
        <w:t xml:space="preserve">As to the particulars of loss at paragraph 15, no admissions are made as to any of the sums claimed, which are not admitted and are put to proof. In particular:</w:t>
      </w:r>
    </w:p>
    <w:p>
      <w:pPr>
        <w:pStyle w:val="ListParagraph"/>
        <w:numPr>
          <w:ilvl w:val="0"/>
          <w:numId w:val="3"/>
        </w:numPr>
        <w:spacing w:after="120"/>
      </w:pPr>
      <w:r>
        <w:t xml:space="preserve">the costs of investigation, recall, rework and scrap are not admitted and the Defendant requires the Claimant to prove that they were reasonably incurred and caused by any breach;</w:t>
      </w:r>
    </w:p>
    <w:p>
      <w:pPr>
        <w:pStyle w:val="ListParagraph"/>
        <w:numPr>
          <w:ilvl w:val="0"/>
          <w:numId w:val="3"/>
        </w:numPr>
        <w:spacing w:after="120"/>
      </w:pPr>
      <w:r>
        <w:t xml:space="preserve">the claim for loss of profit on the Wexbourne contract is denied; the Defendant avers that the termination of that contract was caused by matters unconnected with the Goods, alternatively that the loss is too remote and/or was not within the reasonable contemplation of the parties, alternatively that the Claimant failed to mitigate its loss, in particular by failing to retain the Wexbourne business or to secure replacement business; and</w:t>
      </w:r>
    </w:p>
    <w:p>
      <w:pPr>
        <w:pStyle w:val="ListParagraph"/>
        <w:numPr>
          <w:ilvl w:val="0"/>
          <w:numId w:val="3"/>
        </w:numPr>
        <w:spacing w:after="120"/>
      </w:pPr>
      <w:r>
        <w:t xml:space="preserve">the claim for management time is not admitted and is in any event excessive.</w:t>
      </w:r>
    </w:p>
    <w:p>
      <w:pPr>
        <w:pStyle w:val="ListParagraph"/>
        <w:numPr>
          <w:ilvl w:val="0"/>
          <w:numId w:val="2"/>
        </w:numPr>
        <w:spacing w:after="120"/>
      </w:pPr>
      <w:r>
        <w:t xml:space="preserve">Further and in any event, the Defendant relies upon clause 11 of the Supply Agreement, by which the Defendant’s aggregate liability under or in connection with the Supply Agreement was limited to the price paid for the Goods giving rise to the claim, alternatively £500,000, whichever is the lower; and by which the Defendant excluded liability for loss of profit, loss of contract and indirect or consequential loss.</w:t>
      </w:r>
    </w:p>
    <w:p>
      <w:pPr>
        <w:pStyle w:val="ListParagraph"/>
        <w:numPr>
          <w:ilvl w:val="0"/>
          <w:numId w:val="2"/>
        </w:numPr>
        <w:spacing w:after="120"/>
      </w:pPr>
      <w:r>
        <w:t xml:space="preserve">The Defendant denies that the Claimant is entitled to the relief claimed or to any relief.</w:t>
      </w:r>
    </w:p>
    <w:p>
      <w:pPr>
        <w:spacing w:after="60" w:before="200"/>
      </w:pPr>
      <w:r>
        <w:rPr>
          <w:b/>
          <w:bCs/>
        </w:rPr>
        <w:t xml:space="preserve">STATEMENT OF TRUTH</w:t>
      </w:r>
    </w:p>
    <w:p>
      <w:pPr>
        <w:spacing w:after="120" w:before="0"/>
      </w:pPr>
      <w:r>
        <w:t xml:space="preserve">The Defendant believes that the facts stated in this Defence are true. The Defendant understands that proceedings for contempt of court may be brought against anyone who makes, or causes to be made, a false statement in a document verified by a statement of truth without an honest belief in its truth.</w:t>
      </w:r>
    </w:p>
    <w:p>
      <w:pPr>
        <w:spacing w:after="20" w:before="120"/>
      </w:pPr>
      <w:r>
        <w:t xml:space="preserve">Signed: ............................................</w:t>
      </w:r>
    </w:p>
    <w:p>
      <w:pPr>
        <w:spacing w:after="20" w:before="0"/>
      </w:pPr>
      <w:r>
        <w:t xml:space="preserve">Deepa Kovac, Birchall Stone LLP, solicitors for the Defendant</w:t>
      </w:r>
    </w:p>
    <w:p>
      <w:pPr>
        <w:spacing w:after="120" w:before="0"/>
      </w:pPr>
      <w:r>
        <w:t xml:space="preserve">Dated: 13 February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1"/>
      </w:pBdr>
      <w:spacing w:after="0" w:before="60"/>
    </w:pPr>
    <w:r>
      <w:rPr>
        <w:color w:val="808080"/>
        <w:sz w:val="14"/>
        <w:szCs w:val="14"/>
      </w:rPr>
      <w:t xml:space="preserve">Whitfield Carter LLP is a limited liability partnership registered in England and Wales (OC394821). Authorised and regulated by the Solicitors Regulation Authority. Confidential and may be legally privileged.</w:t>
    </w:r>
  </w:p>
  <w:p>
    <w:pPr>
      <w:spacing w:before="40"/>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 w:type="paragraph" w:styleId="Title">
    <w:name w:val="Title"/>
    <w:basedOn w:val="Normal"/>
    <w:next w:val="Normal"/>
    <w:qFormat/>
    <w:pPr>
      <w:spacing w:after="12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2026-06-26T11:12:03.195Z</dcterms:created>
  <dcterms:modified xsi:type="dcterms:W3CDTF">2026-06-26T11:12:03.195Z</dcterms:modified>
</cp:coreProperties>
</file>

<file path=docProps/custom.xml><?xml version="1.0" encoding="utf-8"?>
<Properties xmlns="http://schemas.openxmlformats.org/officeDocument/2006/custom-properties" xmlns:vt="http://schemas.openxmlformats.org/officeDocument/2006/docPropsVTypes"/>
</file>