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rPr>
        <w:t xml:space="preserve">IN THE HIGH COURT OF JUSTICE</w:t>
      </w:r>
    </w:p>
    <w:p>
      <w:pPr>
        <w:spacing w:after="60" w:before="0"/>
        <w:jc w:val="center"/>
      </w:pPr>
      <w:r>
        <w:t xml:space="preserve">BUSINESS AND PROPERTY COURTS OF ENGLAND AND WALES</w:t>
      </w:r>
    </w:p>
    <w:p>
      <w:pPr>
        <w:spacing w:after="60" w:before="0"/>
        <w:jc w:val="center"/>
      </w:pPr>
      <w:r>
        <w:t xml:space="preserve">TECHNOLOGY AND CONSTRUCTION COURT (KBD)</w:t>
      </w:r>
    </w:p>
    <w:p>
      <w:pPr>
        <w:spacing w:after="120" w:before="0"/>
        <w:jc w:val="center"/>
      </w:pPr>
      <w:r>
        <w:t xml:space="preserve">Claim No. HT-2025-000412</w:t>
      </w:r>
    </w:p>
    <w:p>
      <w:pPr>
        <w:spacing w:after="120" w:before="0"/>
      </w:pPr>
      <w:r>
        <w:t xml:space="preserve">BETWEEN:</w:t>
      </w:r>
    </w:p>
    <w:p>
      <w:pPr>
        <w:spacing w:after="20" w:before="0"/>
        <w:jc w:val="center"/>
      </w:pPr>
      <w:r>
        <w:rPr>
          <w:b/>
          <w:bCs/>
        </w:rPr>
        <w:t xml:space="preserve">CALVERTON INDUSTRIES LIMITED</w:t>
      </w:r>
    </w:p>
    <w:p>
      <w:pPr>
        <w:spacing w:after="80" w:before="0"/>
        <w:jc w:val="center"/>
      </w:pPr>
      <w:r>
        <w:rPr>
          <w:i/>
          <w:iCs/>
        </w:rPr>
        <w:t xml:space="preserve">Claimant</w:t>
      </w:r>
    </w:p>
    <w:p>
      <w:pPr>
        <w:spacing w:after="80" w:before="0"/>
        <w:jc w:val="center"/>
      </w:pPr>
      <w:r>
        <w:t xml:space="preserve">- and -</w:t>
      </w:r>
    </w:p>
    <w:p>
      <w:pPr>
        <w:spacing w:after="20" w:before="0"/>
        <w:jc w:val="center"/>
      </w:pPr>
      <w:r>
        <w:rPr>
          <w:b/>
          <w:bCs/>
        </w:rPr>
        <w:t xml:space="preserve">FERNCLIFFE ALLOYS LIMITED</w:t>
      </w:r>
    </w:p>
    <w:p>
      <w:pPr>
        <w:spacing w:after="160" w:before="0"/>
        <w:jc w:val="center"/>
      </w:pPr>
      <w:r>
        <w:rPr>
          <w:i/>
          <w:iCs/>
        </w:rPr>
        <w:t xml:space="preserve">Defendant</w:t>
      </w:r>
    </w:p>
    <w:p>
      <w:pPr>
        <w:spacing w:after="60" w:before="0"/>
        <w:jc w:val="center"/>
      </w:pPr>
      <w:r>
        <w:rPr>
          <w:b/>
          <w:bCs/>
          <w:sz w:val="24"/>
          <w:szCs w:val="24"/>
        </w:rPr>
        <w:t xml:space="preserve">FIRST WITNESS STATEMENT OF DAVID OKORO</w:t>
      </w:r>
    </w:p>
    <w:p>
      <w:pPr>
        <w:spacing w:after="120" w:before="0"/>
      </w:pPr>
      <w:r>
        <w:rPr>
          <w:sz w:val="18"/>
          <w:szCs w:val="18"/>
        </w:rPr>
        <w:t xml:space="preserve">Made on behalf of: The Claimant</w:t>
      </w:r>
    </w:p>
    <w:p>
      <w:pPr>
        <w:spacing w:after="120" w:before="0"/>
      </w:pPr>
      <w:r>
        <w:rPr>
          <w:sz w:val="18"/>
          <w:szCs w:val="18"/>
        </w:rPr>
        <w:t xml:space="preserve">Witness: David Okoro    Statement: First    Exhibits: “DO1”</w:t>
      </w:r>
    </w:p>
    <w:p>
      <w:pPr>
        <w:spacing w:after="160" w:before="0"/>
      </w:pPr>
      <w:r>
        <w:rPr>
          <w:sz w:val="18"/>
          <w:szCs w:val="18"/>
        </w:rPr>
        <w:t xml:space="preserve">Date made: 27 March 2026</w:t>
      </w:r>
    </w:p>
    <w:p>
      <w:pPr>
        <w:spacing w:after="120" w:before="0"/>
      </w:pPr>
      <w:r>
        <w:t xml:space="preserve">I, DAVID OKORO, of Brookfield Works, Tame Valley Industrial Estate, Wednesbury WS10 7DF, WILL SAY as follows:</w:t>
      </w:r>
    </w:p>
    <w:p>
      <w:pPr>
        <w:pStyle w:val="ListParagraph"/>
        <w:numPr>
          <w:ilvl w:val="0"/>
          <w:numId w:val="2"/>
        </w:numPr>
        <w:spacing w:after="120"/>
      </w:pPr>
      <w:r>
        <w:t xml:space="preserve">I am the Quality and Technical Director of the Claimant, Calverton Industries Limited (“Calverton”). I have held that position since 2019 and have worked in the steel-using manufacturing industry for over 26 years. I am authorised to make this statement on Calverton’s behalf.</w:t>
      </w:r>
    </w:p>
    <w:p>
      <w:pPr>
        <w:pStyle w:val="ListParagraph"/>
        <w:numPr>
          <w:ilvl w:val="0"/>
          <w:numId w:val="2"/>
        </w:numPr>
        <w:spacing w:after="120"/>
      </w:pPr>
      <w:r>
        <w:t xml:space="preserve">The facts in this statement are within my own knowledge unless I state otherwise, in which case I give the source of my information and believe it to be true. There is now produced and shown to me a paginated bundle of documents marked “DO1” to which I refer by page number in the form [DO1/x].</w:t>
      </w:r>
    </w:p>
    <w:p>
      <w:pPr>
        <w:pStyle w:val="Heading2"/>
      </w:pPr>
      <w:r>
        <w:t xml:space="preserve">Calverton and the products</w:t>
      </w:r>
    </w:p>
    <w:p>
      <w:pPr>
        <w:pStyle w:val="ListParagraph"/>
        <w:numPr>
          <w:ilvl w:val="0"/>
          <w:numId w:val="2"/>
        </w:numPr>
        <w:spacing w:after="120"/>
      </w:pPr>
      <w:r>
        <w:t xml:space="preserve">Calverton manufactures precision fasteners and fluid-handling components. The product relevant to this claim is our Type CDF-316 marine deck-fastener assembly, which is used to secure deck and superstructure fittings on vessels and offshore structures. Because these fasteners are used in salt-water environments, corrosion resistance is critical, and we specify grade 316L stainless steel for the wetted components precisely because of its molybdenum content and superior pitting resistance compared with the cheaper grade 304.</w:t>
      </w:r>
    </w:p>
    <w:p>
      <w:pPr>
        <w:pStyle w:val="ListParagraph"/>
        <w:numPr>
          <w:ilvl w:val="0"/>
          <w:numId w:val="2"/>
        </w:numPr>
        <w:spacing w:after="120"/>
      </w:pPr>
      <w:r>
        <w:t xml:space="preserve">We have bought stainless bar from the Defendant, Ferncliffe Alloys Limited (“Ferncliffe”), since 2022 under a framework supply agreement. We place purchase orders that specify the grade (316L), the standard (ASTM A276 / BS EN 10088-3) and the key properties, including a minimum molybdenum content of 2.0% and a minimum 0.2% proof strength of 200 N/mm². Each delivery is supposed to come with a mill test certificate confirming those properties.</w:t>
      </w:r>
    </w:p>
    <w:p>
      <w:pPr>
        <w:pStyle w:val="Heading2"/>
      </w:pPr>
      <w:r>
        <w:t xml:space="preserve">The orders in question</w:t>
      </w:r>
    </w:p>
    <w:p>
      <w:pPr>
        <w:pStyle w:val="ListParagraph"/>
        <w:numPr>
          <w:ilvl w:val="0"/>
          <w:numId w:val="2"/>
        </w:numPr>
        <w:spacing w:after="120"/>
      </w:pPr>
      <w:r>
        <w:t xml:space="preserve">Between January and June 2024 we placed four purchase orders with Ferncliffe for 316L bar, totalling about 41.6 tonnes. The two orders that matter most for this claim are PO-2024-0241 and PO-2024-0307, covering heats H-4471, H-4472 and H-4488. The mill certificates for those heats stated a molybdenum content of around 2.1–2.2% and certified the bar as 316L. On the strength of those certificates we accepted the bar and put it into production.</w:t>
      </w:r>
    </w:p>
    <w:p>
      <w:pPr>
        <w:pStyle w:val="Heading2"/>
      </w:pPr>
      <w:r>
        <w:t xml:space="preserve">The failures</w:t>
      </w:r>
    </w:p>
    <w:p>
      <w:pPr>
        <w:pStyle w:val="ListParagraph"/>
        <w:numPr>
          <w:ilvl w:val="0"/>
          <w:numId w:val="2"/>
        </w:numPr>
        <w:spacing w:after="120"/>
      </w:pPr>
      <w:r>
        <w:t xml:space="preserve">From around August 2024 we began receiving warranty reports of fasteners corroding and, in some cases, fastener heads shearing off, on assemblies that had only been in service a matter of months. This was wholly abnormal for 316L, which should give many years of service in a marine environment. The pattern of pitting we saw on returned parts looked far more like what we would expect of grade 304.</w:t>
      </w:r>
    </w:p>
    <w:p>
      <w:pPr>
        <w:pStyle w:val="ListParagraph"/>
        <w:numPr>
          <w:ilvl w:val="0"/>
          <w:numId w:val="2"/>
        </w:numPr>
        <w:spacing w:after="120"/>
      </w:pPr>
      <w:r>
        <w:t xml:space="preserve">I instructed our team to quarantine remaining stock from the affected heats and to send retained bar and a number of failed assemblies for independent testing by Wraysbury Materials Laboratory. I chose Wraysbury because they are UKAS-accredited and independent of both Calverton and Ferncliffe.</w:t>
      </w:r>
    </w:p>
    <w:p>
      <w:pPr>
        <w:pStyle w:val="ListParagraph"/>
        <w:numPr>
          <w:ilvl w:val="0"/>
          <w:numId w:val="2"/>
        </w:numPr>
        <w:spacing w:after="120"/>
      </w:pPr>
      <w:r>
        <w:t xml:space="preserve">Wraysbury’s report of 5 September 2025 [DO1/112] confirmed what we feared: the bar from heats H-4471, H-4472 and H-4488 had a molybdenum content of only about 1.1–1.4%, far below the 2.0% minimum for 316L, a PREN of around 18, and in some samples a proof strength below the specified minimum. In short, the material we had been sold as 316L was not 316L at all. It was, in substance, a 304-type material that had no business being used in marine fasteners.</w:t>
      </w:r>
    </w:p>
    <w:p>
      <w:pPr>
        <w:pStyle w:val="Heading2"/>
      </w:pPr>
      <w:r>
        <w:t xml:space="preserve">Goods-inwards inspection</w:t>
      </w:r>
    </w:p>
    <w:p>
      <w:pPr>
        <w:pStyle w:val="ListParagraph"/>
        <w:numPr>
          <w:ilvl w:val="0"/>
          <w:numId w:val="2"/>
        </w:numPr>
        <w:spacing w:after="120"/>
      </w:pPr>
      <w:r>
        <w:t xml:space="preserve">Ferncliffe’s solicitors have suggested that we should have caught this on goods-inwards inspection. I do not accept that. Our goods-inwards procedure checks dimensions, surface condition and the presence and content of the mill certificate. We do not, and as a fastener manufacturer we are not expected to, carry out destructive chemical analysis on every heat of certified bar we receive; the whole point of an EN 10204 3.1 certificate is that we are entitled to rely on it. Carrying out positive material identification on every bar would be wholly disproportionate and is not industry practice for a buyer in our position.</w:t>
      </w:r>
    </w:p>
    <w:p>
      <w:pPr>
        <w:pStyle w:val="Heading2"/>
      </w:pPr>
      <w:r>
        <w:t xml:space="preserve">Consequences</w:t>
      </w:r>
    </w:p>
    <w:p>
      <w:pPr>
        <w:pStyle w:val="ListParagraph"/>
        <w:numPr>
          <w:ilvl w:val="0"/>
          <w:numId w:val="2"/>
        </w:numPr>
        <w:spacing w:after="120"/>
      </w:pPr>
      <w:r>
        <w:t xml:space="preserve">The consequences for Calverton were severe. We had to mount a field recall of affected assemblies, replace parts in the field, scrap contaminated stock and issue credits to customers. Worst of all, our largest marine customer at the time, Wexbourne Retail Group Limited, terminated its supply contract with us on 11 December 2024, citing the field failures. That contract was worth a great deal to us and its loss is the single largest element of our claim.</w:t>
      </w:r>
    </w:p>
    <w:p>
      <w:pPr>
        <w:pStyle w:val="ListParagraph"/>
        <w:numPr>
          <w:ilvl w:val="0"/>
          <w:numId w:val="2"/>
        </w:numPr>
        <w:spacing w:after="120"/>
      </w:pPr>
      <w:r>
        <w:t xml:space="preserve">I make this statement in support of Calverton’s claim. I believe that the facts stated in it are true. I understand that proceedings for contempt of court may be brought against anyone who makes, or causes to be made, a false statement in a document verified by a statement of truth without an honest belief in its truth.</w:t>
      </w:r>
    </w:p>
    <w:p>
      <w:pPr>
        <w:spacing w:after="20" w:before="160"/>
      </w:pPr>
      <w:r>
        <w:t xml:space="preserve">Signed: ............................................</w:t>
      </w:r>
    </w:p>
    <w:p>
      <w:pPr>
        <w:spacing w:after="20" w:before="0"/>
      </w:pPr>
      <w:r>
        <w:t xml:space="preserve">David Okoro</w:t>
      </w:r>
    </w:p>
    <w:p>
      <w:pPr>
        <w:spacing w:after="120" w:before="0"/>
      </w:pPr>
      <w:r>
        <w:t xml:space="preserve">Dated: 27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2026-06-26T11:12:03.238Z</dcterms:created>
  <dcterms:modified xsi:type="dcterms:W3CDTF">2026-06-26T11:12:03.238Z</dcterms:modified>
</cp:coreProperties>
</file>

<file path=docProps/custom.xml><?xml version="1.0" encoding="utf-8"?>
<Properties xmlns="http://schemas.openxmlformats.org/officeDocument/2006/custom-properties" xmlns:vt="http://schemas.openxmlformats.org/officeDocument/2006/docPropsVTypes"/>
</file>