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Advice Note — Directors’ duties and the Ironhold restructuring</w:t>
      </w:r>
    </w:p>
    <w:p>
      <w:pPr>
        <w:spacing w:after="120" w:line="276"/>
      </w:pPr>
      <w:r>
        <w:t xml:space="preserve">To: The Board of Calverton Industries Limited   |   From: Sarah Whitfield, Whitfield Carter LLP   |   Date: 6 March 2026</w:t>
      </w:r>
    </w:p>
    <w:p>
      <w:pPr>
        <w:spacing w:after="140" w:line="276"/>
      </w:pPr>
      <w:r>
        <w:rPr>
          <w:b/>
          <w:bCs/>
        </w:rPr>
        <w:t xml:space="preserve">Privileged and confidential — prepared for the directors of Calverton Industries Limited</w:t>
      </w:r>
    </w:p>
    <w:p>
      <w:pPr>
        <w:pStyle w:val="Heading2"/>
      </w:pPr>
      <w:r>
        <w:t xml:space="preserve">1.  Purpose</w:t>
      </w:r>
    </w:p>
    <w:p>
      <w:pPr>
        <w:spacing w:after="120" w:line="276"/>
      </w:pPr>
      <w:r>
        <w:t xml:space="preserve">This note sets out the directors’ duties that are engaged as the Company negotiates a consensual restructuring of its senior and shareholder debt (Project Ironhold), and the practical steps the Board should take to discharge them. It should be read with the independent business review prepared by Marlow Tax &amp; Advisory Ltd.</w:t>
      </w:r>
    </w:p>
    <w:p>
      <w:pPr>
        <w:pStyle w:val="Heading2"/>
      </w:pPr>
      <w:r>
        <w:t xml:space="preserve">2.  The shift towards creditors’ interests</w:t>
      </w:r>
    </w:p>
    <w:p>
      <w:pPr>
        <w:spacing w:after="120" w:line="276"/>
      </w:pPr>
      <w:r>
        <w:t xml:space="preserve">Where a company is insolvent or bordering on insolvency, or where an insolvent liquidation or administration is probable, the directors’ duty under section 172 of the Companies Act 2006 to promote the success of the company is modified: the directors must have regard to the interests of the company’s creditors as a whole. On the facts — the covenant breaches, the standstill and the constrained liquidity position identified in the IBR — the Board should proceed on the basis that this creditor-facing duty is engaged.</w:t>
      </w:r>
    </w:p>
    <w:p>
      <w:pPr>
        <w:pStyle w:val="Heading2"/>
      </w:pPr>
      <w:r>
        <w:t xml:space="preserve">3.  Wrongful trading and the going-concern assessment</w:t>
      </w:r>
    </w:p>
    <w:p>
      <w:pPr>
        <w:spacing w:after="120" w:line="276"/>
      </w:pPr>
      <w:r>
        <w:t xml:space="preserve">Under section 214 of the Insolvency Act 1986, a director may be liable for wrongful trading if, at some point before the commencement of an insolvent liquidation or administration, the director knew or ought to have concluded that there was no reasonable prospect of avoiding that outcome and did not take every step to minimise loss to creditors. The Board should therefore: (a) satisfy itself, on the basis of the IBR and the reset covenants, that the restructured Group has a reasonable prospect of continuing as a going concern; (b) keep the position under regular review, including against the 13-week cashflow; and (c) document its decisions.</w:t>
      </w:r>
    </w:p>
    <w:p>
      <w:pPr>
        <w:pStyle w:val="Heading2"/>
      </w:pPr>
      <w:r>
        <w:t xml:space="preserve">4.  Connected-party and preference issues</w:t>
      </w:r>
    </w:p>
    <w:p>
      <w:pPr>
        <w:spacing w:after="120" w:line="276"/>
      </w:pPr>
      <w:r>
        <w:t xml:space="preserve">The debt-for-equity conversion and subordination involve the Company’s shareholder (Aldermarsh Nominees Limited), a connected party. The Board should be satisfied that the terms are on arm’s-length terms and are supported by proper valuation, so as to avoid any suggestion of a transaction at an undervalue (section 238) or a preference (section 239) should an insolvency subsequently occur. The independent business review and the fact that the senior lender is providing new money on a super-senior basis support the commercial rationale.</w:t>
      </w:r>
    </w:p>
    <w:p>
      <w:pPr>
        <w:pStyle w:val="Heading2"/>
      </w:pPr>
      <w:r>
        <w:t xml:space="preserve">5.  Recommended steps</w:t>
      </w:r>
    </w:p>
    <w:p>
      <w:pPr>
        <w:pStyle w:val="ListParagraph"/>
        <w:numPr>
          <w:ilvl w:val="0"/>
          <w:numId w:val="2"/>
        </w:numPr>
        <w:spacing w:after="70" w:line="276"/>
      </w:pPr>
      <w:r>
        <w:t xml:space="preserve">Convene a board meeting to consider and approve the restructuring, with full minutes recording the directors’ consideration of creditors’ interests (see the board minutes of 22 April 2026).</w:t>
      </w:r>
    </w:p>
    <w:p>
      <w:pPr>
        <w:pStyle w:val="ListParagraph"/>
        <w:numPr>
          <w:ilvl w:val="0"/>
          <w:numId w:val="2"/>
        </w:numPr>
        <w:spacing w:after="70" w:line="276"/>
      </w:pPr>
      <w:r>
        <w:t xml:space="preserve">Obtain shareholder approval for the allotment of new shares on the debt-for-equity conversion.</w:t>
      </w:r>
    </w:p>
    <w:p>
      <w:pPr>
        <w:pStyle w:val="ListParagraph"/>
        <w:numPr>
          <w:ilvl w:val="0"/>
          <w:numId w:val="2"/>
        </w:numPr>
        <w:spacing w:after="70" w:line="276"/>
      </w:pPr>
      <w:r>
        <w:t xml:space="preserve">Rely on the IBR and the reset covenant headroom as the basis for the going-concern conclusion, and keep that conclusion under review.</w:t>
      </w:r>
    </w:p>
    <w:p>
      <w:pPr>
        <w:pStyle w:val="ListParagraph"/>
        <w:numPr>
          <w:ilvl w:val="0"/>
          <w:numId w:val="2"/>
        </w:numPr>
        <w:spacing w:after="70" w:line="276"/>
      </w:pPr>
      <w:r>
        <w:t xml:space="preserve">Ensure the funds flow and the payment of connected-party amounts are consistent with the intercreditor arrangements.</w:t>
      </w:r>
    </w:p>
    <w:p>
      <w:pPr>
        <w:spacing w:after="120" w:line="276"/>
      </w:pPr>
      <w:r>
        <w:t xml:space="preserve">Please treat this note as privileged. We are happy to attend the board meeting to talk the directors through these points.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4"/>
        <w:szCs w:val="14"/>
      </w:rPr>
      <w:t xml:space="preserve">Whitfield Carter LLP — Strictly private and confidential. Project Ironhold — Advice Note</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rFonts w:ascii="Georgia" w:cs="Georgia" w:eastAsia="Georgia" w:hAnsi="Georgia"/>
        <w:b/>
        <w:bCs/>
        <w:color w:val="1F3864"/>
        <w:sz w:val="24"/>
        <w:szCs w:val="24"/>
      </w:rPr>
      <w:t xml:space="preserve">Whitfield Carter LLP</w:t>
    </w:r>
  </w:p>
  <w:p>
    <w:pPr>
      <w:pBdr>
        <w:bottom w:val="single" w:color="1F3864" w:sz="6" w:space="6"/>
      </w:pBdr>
      <w:spacing w:after="180"/>
    </w:pPr>
    <w:r>
      <w:rPr>
        <w:color w:val="666666"/>
        <w:sz w:val="15"/>
        <w:szCs w:val="15"/>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520"/>
      </w:pPr>
    </w:lvl>
    <w:lvl w:ilvl="1" w15:tentative="1">
      <w:start w:val="1"/>
      <w:numFmt w:val="decimal"/>
      <w:lvlText w:val="%1.%2"/>
      <w:lvlJc w:val="left"/>
      <w:pPr>
        <w:ind w:left="900" w:hanging="560"/>
      </w:pPr>
    </w:lvl>
    <w:lvl w:ilvl="2" w15:tentative="1">
      <w:start w:val="1"/>
      <w:numFmt w:val="lowerLetter"/>
      <w:lvlText w:val="(%3)"/>
      <w:lvlJc w:val="left"/>
      <w:pPr>
        <w:ind w:left="1400" w:hanging="500"/>
      </w:pPr>
    </w:lvl>
  </w:abstractNum>
  <w:abstractNum w:abstractNumId="3" w15:restartNumberingAfterBreak="0">
    <w:multiLevelType w:val="hybridMultilevel"/>
    <w:lvl w:ilvl="0" w15:tentative="1">
      <w:start w:val="1"/>
      <w:numFmt w:val="upperLetter"/>
      <w:lvlText w:val="(%1)"/>
      <w:lvlJc w:val="left"/>
      <w:pPr>
        <w:ind w:left="760" w:hanging="520"/>
      </w:pPr>
    </w:lvl>
  </w:abstractNum>
  <w:abstractNum w:abstractNumId="4"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sz w:val="25"/>
      <w:szCs w:val="25"/>
    </w:rPr>
  </w:style>
  <w:style w:type="paragraph" w:styleId="Heading2">
    <w:name w:val="Heading 2"/>
    <w:basedOn w:val="Normal"/>
    <w:next w:val="Normal"/>
    <w:qFormat/>
    <w:pPr>
      <w:spacing w:after="9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2026-07-01T11:31:23.495Z</dcterms:created>
  <dcterms:modified xsi:type="dcterms:W3CDTF">2026-07-01T11:31:23.495Z</dcterms:modified>
</cp:coreProperties>
</file>

<file path=docProps/custom.xml><?xml version="1.0" encoding="utf-8"?>
<Properties xmlns="http://schemas.openxmlformats.org/officeDocument/2006/custom-properties" xmlns:vt="http://schemas.openxmlformats.org/officeDocument/2006/docPropsVTypes"/>
</file>