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Ironhold — Conditions Precedent Checklist</w:t>
      </w:r>
    </w:p>
    <w:p>
      <w:pPr>
        <w:spacing w:after="80" w:line="276"/>
      </w:pPr>
      <w:r>
        <w:rPr>
          <w:i/>
          <w:iCs/>
        </w:rPr>
        <w:t xml:space="preserve">Amendment and Restatement Agreement and New-Money Super-Senior Facility</w:t>
      </w:r>
    </w:p>
    <w:p>
      <w:pPr>
        <w:spacing w:after="160" w:line="276"/>
      </w:pPr>
      <w:r>
        <w:rPr>
          <w:color w:val="666666"/>
          <w:sz w:val="16"/>
          <w:szCs w:val="16"/>
        </w:rPr>
        <w:t xml:space="preserve">Prepared by Whitfield Carter LLP  |  Target Restructuring Effective Date: 24 April 2026  |  Status as at 15 April 2026</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900"/>
        <w:gridCol w:w="1360"/>
      </w:tblGrid>
      <w:tr>
        <w:trPr>
          <w:tblHeader/>
        </w:trP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w:t>
            </w:r>
          </w:p>
        </w:tc>
        <w:tc>
          <w:tcPr>
            <w:tcW w:type="dxa" w:w="5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Condition precedent</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Responsibility</w:t>
            </w:r>
          </w:p>
        </w:tc>
        <w:tc>
          <w:tcPr>
            <w:tcW w:type="dxa" w:w="1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Status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Certified copy of the constitutional documents of each Obligor</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WC / Company</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Received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Board resolutions of each Obligor approving the restructuring documents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WC / Company</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Received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Shareholder resolution approving the debt-for-equity conversion and new share issue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WC / Company</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Received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Executed Amendment and Restatement Agreement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WC / Pemberton Rowe</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Agreed form</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5</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Executed New-Money Super-Senior Facility Agreement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Pemberton Rowe</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Agreed form</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6</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Executed Intercreditor Deed (super-senior / senior / shareholder)</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Pemberton Rowe</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 negotiation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7</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Executed Deed of Subordination (Aldermarsh Nominees Ltd)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WC</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Agreed form</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8</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Security confirmation deed from each existing chargor</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WC</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Agreed form</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9</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New debenture from Calverton Fluid Systems Limited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WC</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Agreed form</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10</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Legal charge over the Redditch freehold (Calverton Fastenings Limited)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WC</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 progress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11</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Final independent business review (Marlow Tax &amp; Advisory Ltd)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Marlow</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Received 19 Mar</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12</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Funds flow statement agreed by all parties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WC</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Draft circulated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13</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Legal opinions (capacity and enforceability)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WC</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Draft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14</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Evidence of payment of fees, costs and the amendment fee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Company</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Pending RED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15</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Companies House and Land Registry filings prepared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WC</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Prepared</w:t>
            </w:r>
          </w:p>
        </w:tc>
      </w:tr>
    </w:tbl>
    <w:p>
      <w:pPr>
        <w:spacing w:after="80" w:line="276"/>
      </w:pPr>
      <w:r>
        <w:t xml:space="preserve"/>
      </w:r>
    </w:p>
    <w:p>
      <w:pPr>
        <w:spacing w:after="120" w:line="276"/>
      </w:pPr>
      <w:r>
        <w:rPr>
          <w:sz w:val="18"/>
          <w:szCs w:val="18"/>
        </w:rPr>
        <w:t xml:space="preserve">Notes: items 6 and 10 are the outstanding gating items. Pemberton Rowe (for Northbank) confirmed on 14 April that the intercreditor turn will be returned by 18 April. The Land Registry priority search has been completed and the charge is ready to submit on the Restructuring Effective Date.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888888"/>
        <w:sz w:val="14"/>
        <w:szCs w:val="14"/>
      </w:rPr>
      <w:t xml:space="preserve">Whitfield Carter LLP — Strictly private and confidential. Project Ironhold — CP Checklist</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rFonts w:ascii="Georgia" w:cs="Georgia" w:eastAsia="Georgia" w:hAnsi="Georgia"/>
        <w:b/>
        <w:bCs/>
        <w:color w:val="1F3864"/>
        <w:sz w:val="26"/>
        <w:szCs w:val="26"/>
      </w:rPr>
      <w:t xml:space="preserve">Whitfield Carter LLP</w:t>
    </w:r>
  </w:p>
  <w:p>
    <w:pPr>
      <w:pBdr>
        <w:bottom w:val="single" w:color="1F3864" w:sz="6" w:space="6"/>
      </w:pBdr>
      <w:spacing w:after="200"/>
    </w:pPr>
    <w:r>
      <w:rPr>
        <w:color w:val="666666"/>
        <w:sz w:val="15"/>
        <w:szCs w:val="15"/>
      </w:rPr>
      <w:t xml:space="preserve">22 Bishopsgate, London EC2N 4BQ  |  T +44 (0)20 7946 0100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520"/>
      </w:pPr>
    </w:lvl>
    <w:lvl w:ilvl="1" w15:tentative="1">
      <w:start w:val="1"/>
      <w:numFmt w:val="decimal"/>
      <w:lvlText w:val="%1.%2"/>
      <w:lvlJc w:val="left"/>
      <w:pPr>
        <w:ind w:left="900" w:hanging="560"/>
      </w:pPr>
    </w:lvl>
    <w:lvl w:ilvl="2" w15:tentative="1">
      <w:start w:val="1"/>
      <w:numFmt w:val="lowerLetter"/>
      <w:lvlText w:val="(%3)"/>
      <w:lvlJc w:val="left"/>
      <w:pPr>
        <w:ind w:left="1400" w:hanging="500"/>
      </w:pPr>
    </w:lvl>
  </w:abstractNum>
  <w:abstractNum w:abstractNumId="3" w15:restartNumberingAfterBreak="0">
    <w:multiLevelType w:val="hybridMultilevel"/>
    <w:lvl w:ilvl="0" w15:tentative="1">
      <w:start w:val="1"/>
      <w:numFmt w:val="upperLetter"/>
      <w:lvlText w:val="(%1)"/>
      <w:lvlJc w:val="left"/>
      <w:pPr>
        <w:ind w:left="760" w:hanging="520"/>
      </w:pPr>
    </w:lvl>
  </w:abstractNum>
  <w:abstractNum w:abstractNumId="4"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Georgia" w:cs="Georgia" w:eastAsia="Georgia" w:hAnsi="Georgia"/>
      <w:b/>
      <w:bCs/>
      <w:sz w:val="26"/>
      <w:szCs w:val="26"/>
    </w:rPr>
  </w:style>
  <w:style w:type="paragraph" w:styleId="Heading2">
    <w:name w:val="Heading 2"/>
    <w:basedOn w:val="Normal"/>
    <w:next w:val="Normal"/>
    <w:qFormat/>
    <w:pPr>
      <w:spacing w:after="100" w:before="200"/>
      <w:outlineLvl w:val="1"/>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2026-07-01T11:27:49.970Z</dcterms:created>
  <dcterms:modified xsi:type="dcterms:W3CDTF">2026-07-01T11:27:49.970Z</dcterms:modified>
</cp:coreProperties>
</file>

<file path=docProps/custom.xml><?xml version="1.0" encoding="utf-8"?>
<Properties xmlns="http://schemas.openxmlformats.org/officeDocument/2006/custom-properties" xmlns:vt="http://schemas.openxmlformats.org/officeDocument/2006/docPropsVTypes"/>
</file>