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b/>
          <w:bCs/>
          <w:sz w:val="22"/>
          <w:szCs w:val="22"/>
        </w:rPr>
        <w:t xml:space="preserve">DATED            2026</w:t>
      </w:r>
    </w:p>
    <w:p>
      <w:pPr>
        <w:spacing w:after="120"/>
        <w:jc w:val="center"/>
      </w:pPr>
      <w:r>
        <w:rPr>
          <w:b/>
          <w:bCs/>
          <w:sz w:val="26"/>
          <w:szCs w:val="26"/>
        </w:rPr>
        <w:t xml:space="preserve">DEED OF SUBORDINATION</w:t>
      </w:r>
    </w:p>
    <w:p>
      <w:pPr>
        <w:spacing w:after="200"/>
        <w:jc w:val="center"/>
      </w:pPr>
      <w:r>
        <w:rPr>
          <w:i/>
          <w:iCs/>
          <w:sz w:val="20"/>
          <w:szCs w:val="20"/>
        </w:rPr>
        <w:t xml:space="preserve">relating to the Shareholder Loans of Calverton Industries Limited</w:t>
      </w:r>
    </w:p>
    <w:p>
      <w:pPr>
        <w:spacing w:after="120" w:line="276"/>
        <w:jc w:val="center"/>
      </w:pPr>
      <w:r>
        <w:t xml:space="preserve">BETWEEN</w:t>
      </w:r>
    </w:p>
    <w:p>
      <w:pPr>
        <w:spacing w:after="70" w:line="276"/>
      </w:pPr>
      <w:r>
        <w:t xml:space="preserve">(1)  </w:t>
      </w:r>
      <w:r>
        <w:rPr>
          <w:b/>
          <w:bCs/>
        </w:rPr>
        <w:t xml:space="preserve">ALDERMARSH NOMINEES LIMITED</w:t>
      </w:r>
      <w:r>
        <w:t xml:space="preserve"> (company number 03388142) as </w:t>
      </w:r>
      <w:r>
        <w:rPr>
          <w:b/>
          <w:bCs/>
        </w:rPr>
        <w:t xml:space="preserve">Subordinated Creditor</w:t>
      </w:r>
      <w:r>
        <w:t xml:space="preserve">;</w:t>
      </w:r>
    </w:p>
    <w:p>
      <w:pPr>
        <w:spacing w:after="70" w:line="276"/>
      </w:pPr>
      <w:r>
        <w:t xml:space="preserve">(2)  </w:t>
      </w:r>
      <w:r>
        <w:rPr>
          <w:b/>
          <w:bCs/>
        </w:rPr>
        <w:t xml:space="preserve">CALVERTON INDUSTRIES LIMITED</w:t>
      </w:r>
      <w:r>
        <w:t xml:space="preserve"> (company number 04127786) as </w:t>
      </w:r>
      <w:r>
        <w:rPr>
          <w:b/>
          <w:bCs/>
        </w:rPr>
        <w:t xml:space="preserve">Debtor</w:t>
      </w:r>
      <w:r>
        <w:t xml:space="preserve">; and</w:t>
      </w:r>
    </w:p>
    <w:p>
      <w:pPr>
        <w:spacing w:after="160" w:line="276"/>
      </w:pPr>
      <w:r>
        <w:t xml:space="preserve">(3)  </w:t>
      </w:r>
      <w:r>
        <w:rPr>
          <w:b/>
          <w:bCs/>
        </w:rPr>
        <w:t xml:space="preserve">NORTHBANK PLC</w:t>
      </w:r>
      <w:r>
        <w:t xml:space="preserve"> as </w:t>
      </w:r>
      <w:r>
        <w:rPr>
          <w:b/>
          <w:bCs/>
        </w:rPr>
        <w:t xml:space="preserve">Security Agent</w:t>
      </w:r>
      <w:r>
        <w:t xml:space="preserve"> for the Senior Finance Parties.</w:t>
      </w:r>
    </w:p>
    <w:p>
      <w:pPr>
        <w:pStyle w:val="Heading1"/>
      </w:pPr>
      <w:r>
        <w:t xml:space="preserve">Recitals</w:t>
      </w:r>
    </w:p>
    <w:p>
      <w:pPr>
        <w:pStyle w:val="ListParagraph"/>
        <w:numPr>
          <w:ilvl w:val="0"/>
          <w:numId w:val="2"/>
        </w:numPr>
        <w:spacing w:after="110" w:line="276"/>
      </w:pPr>
      <w:r>
        <w:t xml:space="preserve">The Subordinated Creditor has made available to the Debtor loan notes of £21,000,000 in aggregate principal amount (the “Shareholder Loans”).</w:t>
      </w:r>
    </w:p>
    <w:p>
      <w:pPr>
        <w:pStyle w:val="ListParagraph"/>
        <w:numPr>
          <w:ilvl w:val="0"/>
          <w:numId w:val="2"/>
        </w:numPr>
        <w:spacing w:after="110" w:line="276"/>
      </w:pPr>
      <w:r>
        <w:t xml:space="preserve">Under the Amendment and Restatement Agreement, £6,000,000 of the Shareholder Loans is converted into equity on the Restructuring Effective Date, leaving a residual balance of £15,000,000 (the “Subordinated Debt”).</w:t>
      </w:r>
    </w:p>
    <w:p>
      <w:pPr>
        <w:pStyle w:val="ListParagraph"/>
        <w:numPr>
          <w:ilvl w:val="0"/>
          <w:numId w:val="2"/>
        </w:numPr>
        <w:spacing w:after="110" w:line="276"/>
      </w:pPr>
      <w:r>
        <w:t xml:space="preserve">The Subordinated Creditor has agreed to subordinate the Subordinated Debt to the Senior Liabilities and the Super-Senior Liabilities on the terms of this Deed.</w:t>
      </w:r>
    </w:p>
    <w:p>
      <w:pPr>
        <w:pStyle w:val="Heading1"/>
      </w:pPr>
      <w:r>
        <w:t xml:space="preserve">1.  Subordination</w:t>
      </w:r>
    </w:p>
    <w:p>
      <w:pPr>
        <w:pStyle w:val="ListParagraph"/>
        <w:numPr>
          <w:ilvl w:val="0"/>
          <w:numId w:val="3"/>
        </w:numPr>
        <w:spacing w:after="110" w:line="276"/>
      </w:pPr>
      <w:r>
        <w:t xml:space="preserve">The Subordinated Creditor subordinates the Subordinated Debt, and all its claims against the Debtor in respect of it, to the prior payment in full of the Senior Liabilities and the Super-Senior Liabilities.</w:t>
      </w:r>
    </w:p>
    <w:p>
      <w:pPr>
        <w:pStyle w:val="ListParagraph"/>
        <w:numPr>
          <w:ilvl w:val="0"/>
          <w:numId w:val="3"/>
        </w:numPr>
        <w:spacing w:after="110" w:line="276"/>
      </w:pPr>
      <w:r>
        <w:t xml:space="preserve">Until the Senior Discharge Date, the Debtor shall not, and the Subordinated Creditor shall not require the Debtor to, pay, prepay, repay, redeem or acquire any of the Subordinated Debt, and interest on the Subordinated Debt shall be capitalised and not paid in cash, except in each case as expressly permitted by the Intercreditor Deed.</w:t>
      </w:r>
    </w:p>
    <w:p>
      <w:pPr>
        <w:pStyle w:val="ListParagraph"/>
        <w:numPr>
          <w:ilvl w:val="0"/>
          <w:numId w:val="3"/>
        </w:numPr>
        <w:spacing w:after="110" w:line="276"/>
      </w:pPr>
      <w:r>
        <w:t xml:space="preserve">The Subordinated Creditor shall not: (a) take, accept or receive any Security or guarantee for the Subordinated Debt; (b) take any Enforcement Action in respect of the Subordinated Debt; or (c) exercise any set-off, in each case without the prior consent of the Security Agent.</w:t>
      </w:r>
    </w:p>
    <w:p>
      <w:pPr>
        <w:pStyle w:val="Heading1"/>
      </w:pPr>
      <w:r>
        <w:t xml:space="preserve">2.  Turnover</w:t>
      </w:r>
    </w:p>
    <w:p>
      <w:pPr>
        <w:pStyle w:val="ListParagraph"/>
        <w:numPr>
          <w:ilvl w:val="0"/>
          <w:numId w:val="3"/>
        </w:numPr>
        <w:spacing w:after="110" w:line="276"/>
      </w:pPr>
      <w:r>
        <w:t xml:space="preserve">If the Subordinated Creditor receives any payment or distribution in respect of the Subordinated Debt in breach of this Deed, it shall hold that amount on trust for the Security Agent and promptly pay it to the Security Agent for application against the Senior Liabilities and Super-Senior Liabilities.</w:t>
      </w:r>
    </w:p>
    <w:p>
      <w:pPr>
        <w:pStyle w:val="Heading1"/>
      </w:pPr>
      <w:r>
        <w:t xml:space="preserve">3.  Insolvency</w:t>
      </w:r>
    </w:p>
    <w:p>
      <w:pPr>
        <w:pStyle w:val="ListParagraph"/>
        <w:numPr>
          <w:ilvl w:val="0"/>
          <w:numId w:val="3"/>
        </w:numPr>
        <w:spacing w:after="110" w:line="276"/>
      </w:pPr>
      <w:r>
        <w:t xml:space="preserve">In the event of the insolvency of the Debtor, the Subordinated Creditor authorises the Security Agent to claim, enforce and receive distributions in respect of the Subordinated Debt and to apply them against the Senior Liabilities and Super-Senior Liabilities until they are discharged in full.</w:t>
      </w:r>
    </w:p>
    <w:p>
      <w:pPr>
        <w:pStyle w:val="Heading1"/>
      </w:pPr>
      <w:r>
        <w:t xml:space="preserve">4.  Permitted payments</w:t>
      </w:r>
    </w:p>
    <w:p>
      <w:pPr>
        <w:pStyle w:val="ListParagraph"/>
        <w:numPr>
          <w:ilvl w:val="0"/>
          <w:numId w:val="3"/>
        </w:numPr>
        <w:spacing w:after="110" w:line="276"/>
      </w:pPr>
      <w:r>
        <w:t xml:space="preserve">Notwithstanding Clause 1, the Debtor may pay, and the Subordinated Creditor may receive, the Subordinated Debt to the extent expressly permitted by the Intercreditor Deed, including after the Senior Discharge Date.</w:t>
      </w:r>
    </w:p>
    <w:p>
      <w:pPr>
        <w:pStyle w:val="Heading1"/>
      </w:pPr>
      <w:r>
        <w:t xml:space="preserve">5.  Continuing and further assurance</w:t>
      </w:r>
    </w:p>
    <w:p>
      <w:pPr>
        <w:pStyle w:val="ListParagraph"/>
        <w:numPr>
          <w:ilvl w:val="0"/>
          <w:numId w:val="3"/>
        </w:numPr>
        <w:spacing w:after="110" w:line="276"/>
      </w:pPr>
      <w:r>
        <w:t xml:space="preserve">This Deed is a continuing obligation and remains in full force until the Senior Discharge Date. The Subordinated Creditor shall execute such documents and do such things as the Security Agent reasonably requires to give effect to this Deed.</w:t>
      </w:r>
    </w:p>
    <w:p>
      <w:pPr>
        <w:pStyle w:val="Heading1"/>
      </w:pPr>
      <w:r>
        <w:t xml:space="preserve">6.  Governing law and jurisdiction</w:t>
      </w:r>
    </w:p>
    <w:p>
      <w:pPr>
        <w:pStyle w:val="ListParagraph"/>
        <w:numPr>
          <w:ilvl w:val="0"/>
          <w:numId w:val="3"/>
        </w:numPr>
        <w:spacing w:after="110" w:line="276"/>
      </w:pPr>
      <w:r>
        <w:t xml:space="preserve">This Deed and any non-contractual obligations arising out of it are governed by English law and the courts of England have exclusive jurisdiction.</w:t>
      </w:r>
    </w:p>
    <w:p>
      <w:pPr>
        <w:spacing w:after="120" w:line="276"/>
      </w:pPr>
    </w:p>
    <w:p>
      <w:pPr>
        <w:spacing w:after="180" w:line="276"/>
      </w:pPr>
      <w:r>
        <w:t xml:space="preserve">This document has been executed as a deed and is delivered on the date stated at the beginning of it.</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EXECUTED as a deed by</w:t>
            </w:r>
          </w:p>
          <w:p>
            <w:pPr>
              <w:spacing w:after="40"/>
            </w:pPr>
            <w:r>
              <w:rPr>
                <w:sz w:val="19"/>
                <w:szCs w:val="19"/>
              </w:rPr>
              <w:t xml:space="preserve">ALDERMARSH NOMINEES LIMITED</w:t>
            </w:r>
          </w:p>
          <w:p>
            <w:pPr>
              <w:spacing w:after="40"/>
            </w:pPr>
            <w:r>
              <w:rPr>
                <w:sz w:val="19"/>
                <w:szCs w:val="19"/>
              </w:rPr>
              <w:t xml:space="preserve"/>
            </w:r>
          </w:p>
          <w:p>
            <w:pPr>
              <w:spacing w:after="40"/>
            </w:pPr>
            <w:r>
              <w:rPr>
                <w:sz w:val="19"/>
                <w:szCs w:val="19"/>
              </w:rPr>
              <w:t xml:space="preserve">........................  Director</w:t>
            </w:r>
          </w:p>
          <w:p>
            <w:pPr>
              <w:spacing w:after="40"/>
            </w:pPr>
            <w:r>
              <w:rPr>
                <w:sz w:val="19"/>
                <w:szCs w:val="19"/>
              </w:rPr>
              <w:t xml:space="preserve">........................  Director/Secretary</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EXECUTED as a deed by</w:t>
            </w:r>
          </w:p>
          <w:p>
            <w:pPr>
              <w:spacing w:after="40"/>
            </w:pPr>
            <w:r>
              <w:rPr>
                <w:sz w:val="19"/>
                <w:szCs w:val="19"/>
              </w:rPr>
              <w:t xml:space="preserve">CALVERTON INDUSTRIES LIMITED</w:t>
            </w:r>
          </w:p>
          <w:p>
            <w:pPr>
              <w:spacing w:after="40"/>
            </w:pPr>
            <w:r>
              <w:rPr>
                <w:sz w:val="19"/>
                <w:szCs w:val="19"/>
              </w:rPr>
              <w:t xml:space="preserve"/>
            </w:r>
          </w:p>
          <w:p>
            <w:pPr>
              <w:spacing w:after="40"/>
            </w:pPr>
            <w:r>
              <w:rPr>
                <w:sz w:val="19"/>
                <w:szCs w:val="19"/>
              </w:rPr>
              <w:t xml:space="preserve">........................  Director</w:t>
            </w:r>
          </w:p>
          <w:p>
            <w:pPr>
              <w:spacing w:after="40"/>
            </w:pPr>
            <w:r>
              <w:rPr>
                <w:sz w:val="19"/>
                <w:szCs w:val="19"/>
              </w:rPr>
              <w:t xml:space="preserve">........................  Director/Secretary</w:t>
            </w:r>
          </w:p>
        </w:tc>
      </w:tr>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EXECUTED as a deed by</w:t>
            </w:r>
          </w:p>
          <w:p>
            <w:pPr>
              <w:spacing w:after="40"/>
            </w:pPr>
            <w:r>
              <w:rPr>
                <w:sz w:val="19"/>
                <w:szCs w:val="19"/>
              </w:rPr>
              <w:t xml:space="preserve">NORTHBANK PLC</w:t>
            </w:r>
          </w:p>
          <w:p>
            <w:pPr>
              <w:spacing w:after="40"/>
            </w:pPr>
            <w:r>
              <w:rPr>
                <w:sz w:val="19"/>
                <w:szCs w:val="19"/>
              </w:rPr>
              <w:t xml:space="preserve"/>
            </w:r>
          </w:p>
          <w:p>
            <w:pPr>
              <w:spacing w:after="40"/>
            </w:pPr>
            <w:r>
              <w:rPr>
                <w:sz w:val="19"/>
                <w:szCs w:val="19"/>
              </w:rPr>
              <w:t xml:space="preserve">........................  Authorised signatory</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4"/>
        <w:szCs w:val="14"/>
      </w:rPr>
      <w:t xml:space="preserve">Whitfield Carter LLP — Strictly private and confidential. Project Ironhold — Deed of Subordination</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Georgia" w:cs="Georgia" w:eastAsia="Georgia" w:hAnsi="Georgia"/>
        <w:b/>
        <w:bCs/>
        <w:color w:val="1F3864"/>
        <w:sz w:val="24"/>
        <w:szCs w:val="24"/>
      </w:rPr>
      <w:t xml:space="preserve">Whitfield Carter LLP</w:t>
    </w:r>
  </w:p>
  <w:p>
    <w:pPr>
      <w:pBdr>
        <w:bottom w:val="single" w:color="1F3864" w:sz="6" w:space="6"/>
      </w:pBdr>
      <w:spacing w:after="180"/>
    </w:pPr>
    <w:r>
      <w:rPr>
        <w:color w:val="666666"/>
        <w:sz w:val="15"/>
        <w:szCs w:val="15"/>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lvl>
    <w:lvl w:ilvl="1" w15:tentative="1">
      <w:start w:val="1"/>
      <w:numFmt w:val="decimal"/>
      <w:lvlText w:val="%1.%2"/>
      <w:lvlJc w:val="left"/>
      <w:pPr>
        <w:ind w:left="900" w:hanging="560"/>
      </w:pPr>
    </w:lvl>
    <w:lvl w:ilvl="2" w15:tentative="1">
      <w:start w:val="1"/>
      <w:numFmt w:val="lowerLetter"/>
      <w:lvlText w:val="(%3)"/>
      <w:lvlJc w:val="left"/>
      <w:pPr>
        <w:ind w:left="1400" w:hanging="500"/>
      </w:pPr>
    </w:lvl>
  </w:abstractNum>
  <w:abstractNum w:abstractNumId="3" w15:restartNumberingAfterBreak="0">
    <w:multiLevelType w:val="hybridMultilevel"/>
    <w:lvl w:ilvl="0" w15:tentative="1">
      <w:start w:val="1"/>
      <w:numFmt w:val="upperLetter"/>
      <w:lvlText w:val="(%1)"/>
      <w:lvlJc w:val="left"/>
      <w:pPr>
        <w:ind w:left="760" w:hanging="520"/>
      </w:pPr>
    </w:lvl>
  </w:abstractNum>
  <w:abstractNum w:abstractNumId="4"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sz w:val="25"/>
      <w:szCs w:val="25"/>
    </w:rPr>
  </w:style>
  <w:style w:type="paragraph" w:styleId="Heading2">
    <w:name w:val="Heading 2"/>
    <w:basedOn w:val="Normal"/>
    <w:next w:val="Normal"/>
    <w:qFormat/>
    <w:pPr>
      <w:spacing w:after="9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2026-07-01T11:31:23.454Z</dcterms:created>
  <dcterms:modified xsi:type="dcterms:W3CDTF">2026-07-01T11:31:23.454Z</dcterms:modified>
</cp:coreProperties>
</file>

<file path=docProps/custom.xml><?xml version="1.0" encoding="utf-8"?>
<Properties xmlns="http://schemas.openxmlformats.org/officeDocument/2006/custom-properties" xmlns:vt="http://schemas.openxmlformats.org/officeDocument/2006/docPropsVTypes"/>
</file>