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276"/>
      </w:pPr>
      <w:r>
        <w:t xml:space="preserve">19 February 2026</w:t>
      </w:r>
    </w:p>
    <w:p>
      <w:pPr>
        <w:spacing w:after="0" w:line="276"/>
      </w:pPr>
      <w:r>
        <w:t xml:space="preserve">Mr Andrew Calverton</w:t>
      </w:r>
    </w:p>
    <w:p>
      <w:pPr>
        <w:spacing w:after="0" w:line="276"/>
      </w:pPr>
      <w:r>
        <w:t xml:space="preserve">Chief Executive Officer</w:t>
      </w:r>
    </w:p>
    <w:p>
      <w:pPr>
        <w:spacing w:after="0" w:line="276"/>
      </w:pPr>
      <w:r>
        <w:t xml:space="preserve">Calverton Industries Limited</w:t>
      </w:r>
    </w:p>
    <w:p>
      <w:pPr>
        <w:spacing w:after="200" w:line="276"/>
      </w:pPr>
      <w:r>
        <w:t xml:space="preserve">Calverton House, Ryebank Road, Redditch B98 8LG</w:t>
      </w:r>
    </w:p>
    <w:p>
      <w:pPr>
        <w:spacing w:after="120" w:line="276"/>
      </w:pPr>
      <w:r>
        <w:t xml:space="preserve">Dear Andrew</w:t>
      </w:r>
    </w:p>
    <w:p>
      <w:pPr>
        <w:spacing w:after="160" w:line="276"/>
      </w:pPr>
      <w:r>
        <w:rPr>
          <w:b/>
          <w:bCs/>
        </w:rPr>
        <w:t xml:space="preserve">Project Ironhold — financial restructuring of the Calverton group</w:t>
      </w:r>
    </w:p>
    <w:p>
      <w:pPr>
        <w:spacing w:after="140" w:line="276"/>
      </w:pPr>
      <w:r>
        <w:t xml:space="preserve">Thank you for instructing Whitfield Carter LLP in connection with the proposed financial restructuring of Calverton Industries Limited and its subsidiaries, Calverton Fastenings Limited and Calverton Fluid Systems Limited (together, the “Group”). This letter, together with our enclosed standard terms of business, sets out the basis on which we will act.</w:t>
      </w:r>
    </w:p>
    <w:p>
      <w:pPr>
        <w:pStyle w:val="Heading2"/>
      </w:pPr>
      <w:r>
        <w:t xml:space="preserve">1.  Scope of our engagement</w:t>
      </w:r>
    </w:p>
    <w:p>
      <w:pPr>
        <w:spacing w:after="140" w:line="276"/>
      </w:pPr>
      <w:r>
        <w:t xml:space="preserve">We are instructed to advise the Group on the negotiation, documentation and implementation of a consensual restructuring of its senior and shareholder debt following the covenant breaches notified to Northbank plc on 6 February 2026. Our work will include: advising on the standstill arrangements with Northbank; the amendment and restatement of the Senior Facilities Agreement; the introduction of a new-money super-senior facility; the subordination of, and partial debt-for-equity conversion in respect of, the shareholder loans held by Aldermarsh Nominees Limited; the associated security and intercreditor arrangements; and the corporate approvals required to implement the restructuring.</w:t>
      </w:r>
    </w:p>
    <w:p>
      <w:pPr>
        <w:spacing w:after="140" w:line="276"/>
      </w:pPr>
      <w:r>
        <w:t xml:space="preserve">Our engagement does not extend to tax structuring advice, which will be provided by Marlow Tax &amp; Advisory Ltd, nor to the preparation of the independent business review, save that we will review those outputs where relevant to the legal documentation.</w:t>
      </w:r>
    </w:p>
    <w:p>
      <w:pPr>
        <w:pStyle w:val="Heading2"/>
      </w:pPr>
      <w:r>
        <w:t xml:space="preserve">2.  Our team</w:t>
      </w:r>
    </w:p>
    <w:p>
      <w:pPr>
        <w:spacing w:after="140" w:line="276"/>
      </w:pPr>
      <w:r>
        <w:t xml:space="preserve">The engagement is led by Sarah Whitfield (Partner), supported by James Osei (Senior Associate) and Elena Marchetti (Associate). Sarah is responsible for the overall conduct of the matter and is your principal point of contact.</w:t>
      </w:r>
    </w:p>
    <w:p>
      <w:pPr>
        <w:pStyle w:val="Heading2"/>
      </w:pPr>
      <w:r>
        <w:t xml:space="preserve">3.  Fees and estimate</w:t>
      </w:r>
    </w:p>
    <w:p>
      <w:pPr>
        <w:spacing w:after="120" w:line="276"/>
      </w:pPr>
      <w:r>
        <w:t xml:space="preserve">Our fees are charged by reference to time spent at the hourly rates set out below (exclusive of VAT and disbursements):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400"/>
      </w:tblGrid>
      <w:tr>
        <w:trPr>
          <w:tblHeader/>
        </w:trPr>
        <w:tc>
          <w:tcPr>
            <w:tcW w:type="dxa" w:w="3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Fee earner</w:t>
            </w:r>
          </w:p>
        </w:tc>
        <w:tc>
          <w:tcPr>
            <w:tcW w:type="dxa" w:w="3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Role</w:t>
            </w:r>
          </w:p>
        </w:tc>
        <w:tc>
          <w:tcPr>
            <w:tcW w:type="dxa" w:w="2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Hourly rate</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Sarah Whitfield</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Partner</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£720</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James Osei</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Senior Associate</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£520</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Elena Marchetti</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Associate</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£360</w:t>
            </w:r>
          </w:p>
        </w:tc>
      </w:tr>
    </w:tbl>
    <w:p>
      <w:pPr>
        <w:spacing w:after="60" w:line="276"/>
      </w:pPr>
      <w:r>
        <w:t xml:space="preserve"/>
      </w:r>
    </w:p>
    <w:p>
      <w:pPr>
        <w:spacing w:after="140" w:line="276"/>
      </w:pPr>
      <w:r>
        <w:t xml:space="preserve">Based on the anticipated scope, we estimate our fees for the restructuring through to the Restructuring Effective Date at between £300,000 and £360,000 plus VAT and disbursements. This is an estimate and not a fixed fee or cap; we will update you promptly if the scope changes materially. You have confirmed that the Group will meet the lender’s reasonable legal costs under the terms of the Senior Facilities Agreement.</w:t>
      </w:r>
    </w:p>
    <w:p>
      <w:pPr>
        <w:pStyle w:val="Heading2"/>
      </w:pPr>
      <w:r>
        <w:t xml:space="preserve">4.  Conflicts, confidentiality and money laundering</w:t>
      </w:r>
    </w:p>
    <w:p>
      <w:pPr>
        <w:spacing w:after="140" w:line="276"/>
      </w:pPr>
      <w:r>
        <w:t xml:space="preserve">We have carried out a conflict check and are not aware of any conflict that prevents us from acting. We will keep your affairs confidential, subject to our regulatory obligations. We are required to verify the identity of the Group and its beneficial owners under the applicable anti-money-laundering rules, and will contact your team separately for the necessary information.</w:t>
      </w:r>
    </w:p>
    <w:p>
      <w:pPr>
        <w:pStyle w:val="Heading2"/>
      </w:pPr>
      <w:r>
        <w:t xml:space="preserve">5.  Terms of business</w:t>
      </w:r>
    </w:p>
    <w:p>
      <w:pPr>
        <w:spacing w:after="140" w:line="276"/>
      </w:pPr>
      <w:r>
        <w:t xml:space="preserve">Our engagement is governed by the enclosed standard terms of business, which include provisions on liability, complaints and the basis of charging. Our aggregate liability to the Group in connection with this matter is limited to £15 million, as more fully set out in those terms. This letter and our terms of business are governed by English law.</w:t>
      </w:r>
    </w:p>
    <w:p>
      <w:pPr>
        <w:spacing w:after="160" w:line="276"/>
      </w:pPr>
      <w:r>
        <w:t xml:space="preserve">Please confirm your agreement to these terms by signing and returning the enclosed copy. We look forward to working with you and the Board on Project Ironhold.</w:t>
      </w:r>
    </w:p>
    <w:p>
      <w:pPr>
        <w:spacing w:after="200" w:line="276"/>
      </w:pPr>
      <w:r>
        <w:t xml:space="preserve">Yours sincerely</w:t>
      </w:r>
    </w:p>
    <w:p>
      <w:pPr>
        <w:spacing w:after="0" w:line="276"/>
      </w:pPr>
      <w:r>
        <w:rPr>
          <w:b/>
          <w:bCs/>
        </w:rPr>
        <w:t xml:space="preserve">Sarah Whitfield</w:t>
      </w:r>
    </w:p>
    <w:p>
      <w:pPr>
        <w:spacing w:after="200" w:line="276"/>
      </w:pPr>
      <w:r>
        <w:t xml:space="preserve">Partner, Whitfield Carter LLP</w:t>
      </w:r>
    </w:p>
    <w:p>
      <w:pPr>
        <w:spacing w:after="200" w:line="276"/>
      </w:pPr>
      <w:r>
        <w:t xml:space="preserve">Agreed and accepted for and on behalf of Calverton Industries Limited:</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4413"/>
        <w:gridCol w:w="4413"/>
      </w:tblGrid>
      <w:tr>
        <w:tc>
          <w:tcPr>
            <w:tcW w:type="dxa" w:w="4413"/>
            <w:tcBorders>
              <w:top w:val="none"/>
              <w:left w:val="none"/>
              <w:bottom w:val="none"/>
              <w:right w:val="none"/>
            </w:tcBorders>
            <w:tcMar>
              <w:top w:type="dxa" w:w="120"/>
              <w:left w:type="dxa" w:w="60"/>
              <w:bottom w:type="dxa" w:w="120"/>
              <w:right w:type="dxa" w:w="60"/>
            </w:tcMar>
          </w:tcPr>
          <w:p>
            <w:pPr>
              <w:spacing w:after="40"/>
            </w:pPr>
            <w:r>
              <w:rPr>
                <w:sz w:val="19"/>
                <w:szCs w:val="19"/>
              </w:rPr>
              <w:t xml:space="preserve">Signature: ......................................</w:t>
            </w:r>
          </w:p>
        </w:tc>
        <w:tc>
          <w:tcPr>
            <w:tcW w:type="dxa" w:w="4413"/>
            <w:tcBorders>
              <w:top w:val="none"/>
              <w:left w:val="none"/>
              <w:bottom w:val="none"/>
              <w:right w:val="none"/>
            </w:tcBorders>
            <w:tcMar>
              <w:top w:type="dxa" w:w="120"/>
              <w:left w:type="dxa" w:w="60"/>
              <w:bottom w:type="dxa" w:w="120"/>
              <w:right w:type="dxa" w:w="60"/>
            </w:tcMar>
          </w:tcPr>
          <w:p>
            <w:pPr>
              <w:spacing w:after="40"/>
            </w:pPr>
            <w:r>
              <w:rPr>
                <w:sz w:val="19"/>
                <w:szCs w:val="19"/>
              </w:rPr>
              <w:t xml:space="preserve">Name: Andrew Calverton</w:t>
            </w:r>
          </w:p>
        </w:tc>
      </w:tr>
      <w:tr>
        <w:tc>
          <w:tcPr>
            <w:tcW w:type="dxa" w:w="4413"/>
            <w:tcBorders>
              <w:top w:val="none"/>
              <w:left w:val="none"/>
              <w:bottom w:val="none"/>
              <w:right w:val="none"/>
            </w:tcBorders>
            <w:tcMar>
              <w:top w:type="dxa" w:w="120"/>
              <w:left w:type="dxa" w:w="60"/>
              <w:bottom w:type="dxa" w:w="120"/>
              <w:right w:type="dxa" w:w="60"/>
            </w:tcMar>
          </w:tcPr>
          <w:p>
            <w:pPr>
              <w:spacing w:after="40"/>
            </w:pPr>
            <w:r>
              <w:rPr>
                <w:sz w:val="19"/>
                <w:szCs w:val="19"/>
              </w:rPr>
              <w:t xml:space="preserve">Title: Chief Executive Officer</w:t>
            </w:r>
          </w:p>
        </w:tc>
        <w:tc>
          <w:tcPr>
            <w:tcW w:type="dxa" w:w="4413"/>
            <w:tcBorders>
              <w:top w:val="none"/>
              <w:left w:val="none"/>
              <w:bottom w:val="none"/>
              <w:right w:val="none"/>
            </w:tcBorders>
            <w:tcMar>
              <w:top w:type="dxa" w:w="120"/>
              <w:left w:type="dxa" w:w="60"/>
              <w:bottom w:type="dxa" w:w="120"/>
              <w:right w:type="dxa" w:w="60"/>
            </w:tcMar>
          </w:tcPr>
          <w:p>
            <w:pPr>
              <w:spacing w:after="40"/>
            </w:pPr>
            <w:r>
              <w:rPr>
                <w:sz w:val="19"/>
                <w:szCs w:val="19"/>
              </w:rPr>
              <w:t xml:space="preserve">Date: ......................................</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color w:val="888888"/>
        <w:sz w:val="14"/>
        <w:szCs w:val="14"/>
      </w:rPr>
      <w:t xml:space="preserve">Whitfield Carter LLP — Strictly private and confidential. Project Ironhold — Engagement Letter</w:t>
    </w:r>
    <w:r>
      <w:rPr>
        <w:color w:val="888888"/>
        <w:sz w:val="14"/>
        <w:szCs w:val="14"/>
      </w:rPr>
      <w:t xml:space="preserve">	Page </w:t>
    </w:r>
    <w:r>
      <w:rPr>
        <w:color w:val="888888"/>
        <w:sz w:val="14"/>
        <w:szCs w:val="14"/>
      </w:rPr>
      <w:fldChar w:fldCharType="begin"/>
      <w:instrText xml:space="preserve">PAGE</w:instrText>
      <w:fldChar w:fldCharType="separate"/>
      <w:fldChar w:fldCharType="end"/>
    </w:r>
    <w:r>
      <w:rPr>
        <w:color w:val="888888"/>
        <w:sz w:val="14"/>
        <w:szCs w:val="14"/>
      </w:rPr>
      <w:t xml:space="preserve"> of </w:t>
    </w:r>
    <w:r>
      <w:rPr>
        <w:color w:val="88888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rFonts w:ascii="Georgia" w:cs="Georgia" w:eastAsia="Georgia" w:hAnsi="Georgia"/>
        <w:b/>
        <w:bCs/>
        <w:color w:val="1F3864"/>
        <w:sz w:val="26"/>
        <w:szCs w:val="26"/>
      </w:rPr>
      <w:t xml:space="preserve">Whitfield Carter LLP</w:t>
    </w:r>
  </w:p>
  <w:p>
    <w:pPr>
      <w:pBdr>
        <w:bottom w:val="single" w:color="1F3864" w:sz="6" w:space="6"/>
      </w:pBdr>
      <w:spacing w:after="200"/>
    </w:pPr>
    <w:r>
      <w:rPr>
        <w:color w:val="666666"/>
        <w:sz w:val="15"/>
        <w:szCs w:val="15"/>
      </w:rPr>
      <w:t xml:space="preserve">22 Bishopsgate, London EC2N 4BQ  |  T +44 (0)20 7946 0100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20" w:hanging="520"/>
      </w:pPr>
    </w:lvl>
    <w:lvl w:ilvl="1" w15:tentative="1">
      <w:start w:val="1"/>
      <w:numFmt w:val="decimal"/>
      <w:lvlText w:val="%1.%2"/>
      <w:lvlJc w:val="left"/>
      <w:pPr>
        <w:ind w:left="900" w:hanging="560"/>
      </w:pPr>
    </w:lvl>
    <w:lvl w:ilvl="2" w15:tentative="1">
      <w:start w:val="1"/>
      <w:numFmt w:val="lowerLetter"/>
      <w:lvlText w:val="(%3)"/>
      <w:lvlJc w:val="left"/>
      <w:pPr>
        <w:ind w:left="1400" w:hanging="500"/>
      </w:pPr>
    </w:lvl>
  </w:abstractNum>
  <w:abstractNum w:abstractNumId="3" w15:restartNumberingAfterBreak="0">
    <w:multiLevelType w:val="hybridMultilevel"/>
    <w:lvl w:ilvl="0" w15:tentative="1">
      <w:start w:val="1"/>
      <w:numFmt w:val="upperLetter"/>
      <w:lvlText w:val="(%1)"/>
      <w:lvlJc w:val="left"/>
      <w:pPr>
        <w:ind w:left="760" w:hanging="520"/>
      </w:pPr>
    </w:lvl>
  </w:abstractNum>
  <w:abstractNum w:abstractNumId="4" w15:restartNumberingAfterBreak="0">
    <w:multiLevelType w:val="hybridMultilevel"/>
    <w:lvl w:ilvl="0" w15:tentative="1">
      <w:start w:val="1"/>
      <w:numFmt w:val="bullet"/>
      <w:lvlText w:val="•"/>
      <w:lvlJc w:val="left"/>
      <w:pPr>
        <w:ind w:left="62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Georgia" w:cs="Georgia" w:eastAsia="Georgia" w:hAnsi="Georgia"/>
      <w:b/>
      <w:bCs/>
      <w:sz w:val="26"/>
      <w:szCs w:val="26"/>
    </w:rPr>
  </w:style>
  <w:style w:type="paragraph" w:styleId="Heading2">
    <w:name w:val="Heading 2"/>
    <w:basedOn w:val="Normal"/>
    <w:next w:val="Normal"/>
    <w:qFormat/>
    <w:pPr>
      <w:spacing w:after="100" w:before="200"/>
      <w:outlineLvl w:val="1"/>
    </w:pPr>
    <w:rPr>
      <w:rFonts w:ascii="Georgia" w:cs="Georgia" w:eastAsia="Georgia" w:hAnsi="Georgia"/>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2026-07-01T11:27:49.941Z</dcterms:created>
  <dcterms:modified xsi:type="dcterms:W3CDTF">2026-07-01T11:27:49.941Z</dcterms:modified>
</cp:coreProperties>
</file>

<file path=docProps/custom.xml><?xml version="1.0" encoding="utf-8"?>
<Properties xmlns="http://schemas.openxmlformats.org/officeDocument/2006/custom-properties" xmlns:vt="http://schemas.openxmlformats.org/officeDocument/2006/docPropsVTypes"/>
</file>