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
        <w:jc w:val="center"/>
      </w:pPr>
      <w:r>
        <w:rPr>
          <w:b/>
          <w:bCs/>
          <w:sz w:val="22"/>
          <w:szCs w:val="22"/>
        </w:rPr>
        <w:t xml:space="preserve">DATED            2026</w:t>
      </w:r>
    </w:p>
    <w:p>
      <w:pPr>
        <w:spacing w:after="120"/>
        <w:jc w:val="center"/>
      </w:pPr>
      <w:r>
        <w:rPr>
          <w:b/>
          <w:bCs/>
          <w:sz w:val="26"/>
          <w:szCs w:val="26"/>
        </w:rPr>
        <w:t xml:space="preserve">INTERCREDITOR DEED</w:t>
      </w:r>
    </w:p>
    <w:p>
      <w:pPr>
        <w:spacing w:after="200"/>
        <w:jc w:val="center"/>
      </w:pPr>
      <w:r>
        <w:rPr>
          <w:i/>
          <w:iCs/>
          <w:sz w:val="20"/>
          <w:szCs w:val="20"/>
        </w:rPr>
        <w:t xml:space="preserve">Super-Senior / Senior / Shareholder ranking — Project Ironhold</w:t>
      </w:r>
    </w:p>
    <w:p>
      <w:pPr>
        <w:spacing w:after="160" w:line="276"/>
      </w:pPr>
      <w:r>
        <w:t xml:space="preserve">PARTIES: Northbank plc (as Security Agent, Senior Agent and Super-Senior Lender); the Senior Lenders; Aldermarsh Nominees Limited (as Subordinated Creditor); and Calverton Industries Limited and the other Obligors.</w:t>
      </w:r>
    </w:p>
    <w:p>
      <w:pPr>
        <w:pStyle w:val="Heading1"/>
      </w:pPr>
      <w:r>
        <w:t xml:space="preserve">1.  Ranking and priority</w:t>
      </w:r>
    </w:p>
    <w:p>
      <w:pPr>
        <w:pStyle w:val="ListParagraph"/>
        <w:numPr>
          <w:ilvl w:val="0"/>
          <w:numId w:val="2"/>
        </w:numPr>
        <w:spacing w:after="110" w:line="276"/>
      </w:pPr>
      <w:r>
        <w:t xml:space="preserve">The Liabilities rank in right and priority of payment, and the proceeds of enforcement of the Transaction Security are applied, in the following order:</w:t>
      </w:r>
    </w:p>
    <w:p>
      <w:pPr>
        <w:pStyle w:val="ListParagraph"/>
        <w:numPr>
          <w:ilvl w:val="2"/>
          <w:numId w:val="2"/>
        </w:numPr>
        <w:spacing w:after="110" w:line="276"/>
      </w:pPr>
      <w:r>
        <w:t xml:space="preserve">first, the Super-Senior Liabilities (the £12,000,000 new-money facility) together with the Security Agent’s costs and hedging (if any) up to the Super-Senior Cap;</w:t>
      </w:r>
    </w:p>
    <w:p>
      <w:pPr>
        <w:pStyle w:val="ListParagraph"/>
        <w:numPr>
          <w:ilvl w:val="2"/>
          <w:numId w:val="2"/>
        </w:numPr>
        <w:spacing w:after="110" w:line="276"/>
      </w:pPr>
      <w:r>
        <w:t xml:space="preserve">secondly, the Senior Liabilities (Facility A and the RCF);</w:t>
      </w:r>
    </w:p>
    <w:p>
      <w:pPr>
        <w:pStyle w:val="ListParagraph"/>
        <w:numPr>
          <w:ilvl w:val="2"/>
          <w:numId w:val="2"/>
        </w:numPr>
        <w:spacing w:after="110" w:line="276"/>
      </w:pPr>
      <w:r>
        <w:t xml:space="preserve">thirdly, the Subordinated Liabilities (the residual £15,000,000 Shareholder Loans); and</w:t>
      </w:r>
    </w:p>
    <w:p>
      <w:pPr>
        <w:pStyle w:val="ListParagraph"/>
        <w:numPr>
          <w:ilvl w:val="2"/>
          <w:numId w:val="2"/>
        </w:numPr>
        <w:spacing w:after="110" w:line="276"/>
      </w:pPr>
      <w:r>
        <w:t xml:space="preserve">fourthly, any surplus to the Obligors or as required by law.</w:t>
      </w:r>
    </w:p>
    <w:p>
      <w:pPr>
        <w:pStyle w:val="Heading1"/>
      </w:pPr>
      <w:r>
        <w:t xml:space="preserve">2.  Permitted payments</w:t>
      </w:r>
    </w:p>
    <w:p>
      <w:pPr>
        <w:pStyle w:val="ListParagraph"/>
        <w:numPr>
          <w:ilvl w:val="0"/>
          <w:numId w:val="2"/>
        </w:numPr>
        <w:spacing w:after="110" w:line="276"/>
      </w:pPr>
      <w:r>
        <w:t xml:space="preserve">Prior to an acceleration or enforcement, the Obligors may make scheduled payments of interest and principal on the Super-Senior Liabilities and the Senior Liabilities in accordance with the Amended Facilities Agreement. No payment may be made on the Subordinated Liabilities before the Senior Discharge Date, save for capitalised (PIK) interest, unless permitted by Clause 3.</w:t>
      </w:r>
    </w:p>
    <w:p>
      <w:pPr>
        <w:pStyle w:val="ListParagraph"/>
        <w:numPr>
          <w:ilvl w:val="0"/>
          <w:numId w:val="2"/>
        </w:numPr>
        <w:spacing w:after="110" w:line="276"/>
      </w:pPr>
      <w:r>
        <w:t xml:space="preserve">The Obligors may pay the fees, costs and expenses of the Security Agent and the Finance Parties at any time.</w:t>
      </w:r>
    </w:p>
    <w:p>
      <w:pPr>
        <w:pStyle w:val="Heading1"/>
      </w:pPr>
      <w:r>
        <w:t xml:space="preserve">3.  Subordinated creditor undertakings</w:t>
      </w:r>
    </w:p>
    <w:p>
      <w:pPr>
        <w:pStyle w:val="ListParagraph"/>
        <w:numPr>
          <w:ilvl w:val="0"/>
          <w:numId w:val="2"/>
        </w:numPr>
        <w:spacing w:after="110" w:line="276"/>
      </w:pPr>
      <w:r>
        <w:t xml:space="preserve">The Subordinated Creditor shall not take any Enforcement Action in respect of the Subordinated Liabilities before the Senior Discharge Date, and shall turn over to the Security Agent any recovery received in breach of this Deed.</w:t>
      </w:r>
    </w:p>
    <w:p>
      <w:pPr>
        <w:pStyle w:val="ListParagraph"/>
        <w:numPr>
          <w:ilvl w:val="0"/>
          <w:numId w:val="2"/>
        </w:numPr>
        <w:spacing w:after="110" w:line="276"/>
      </w:pPr>
      <w:r>
        <w:t xml:space="preserve">Interest on the Subordinated Liabilities shall accrue and be capitalised at 8.0 per cent. per annum and shall not be paid in cash before the Senior Discharge Date.</w:t>
      </w:r>
    </w:p>
    <w:p>
      <w:pPr>
        <w:pStyle w:val="Heading1"/>
      </w:pPr>
      <w:r>
        <w:t xml:space="preserve">4.  Enforcement and standstill</w:t>
      </w:r>
    </w:p>
    <w:p>
      <w:pPr>
        <w:pStyle w:val="ListParagraph"/>
        <w:numPr>
          <w:ilvl w:val="0"/>
          <w:numId w:val="2"/>
        </w:numPr>
        <w:spacing w:after="110" w:line="276"/>
      </w:pPr>
      <w:r>
        <w:t xml:space="preserve">The Super-Senior Lender controls enforcement in respect of the Transaction Security, subject to consultation with the Senior Lenders for a period of 20 business days. The Senior Lenders may enforce if the Super-Senior Lender has not commenced enforcement within a Senior Standstill Period of 90 days after notice of an Event of Default.</w:t>
      </w:r>
    </w:p>
    <w:p>
      <w:pPr>
        <w:pStyle w:val="ListParagraph"/>
        <w:numPr>
          <w:ilvl w:val="0"/>
          <w:numId w:val="2"/>
        </w:numPr>
        <w:spacing w:after="110" w:line="276"/>
      </w:pPr>
      <w:r>
        <w:t xml:space="preserve">The net proceeds of any enforcement are applied in accordance with the order of priority in Clause 1.</w:t>
      </w:r>
    </w:p>
    <w:p>
      <w:pPr>
        <w:pStyle w:val="Heading1"/>
      </w:pPr>
      <w:r>
        <w:t xml:space="preserve">5.  Turnover, release and further assurance</w:t>
      </w:r>
    </w:p>
    <w:p>
      <w:pPr>
        <w:pStyle w:val="ListParagraph"/>
        <w:numPr>
          <w:ilvl w:val="0"/>
          <w:numId w:val="2"/>
        </w:numPr>
        <w:spacing w:after="110" w:line="276"/>
      </w:pPr>
      <w:r>
        <w:t xml:space="preserve">Any Finance Party or the Subordinated Creditor that receives a recovery otherwise than in accordance with this Deed shall hold it on trust and pay it to the Security Agent. The Security Agent is authorised to release Transaction Security and guarantees on a Distressed Disposal in accordance with this Deed.</w:t>
      </w:r>
    </w:p>
    <w:p>
      <w:pPr>
        <w:pStyle w:val="Heading1"/>
      </w:pPr>
      <w:r>
        <w:t xml:space="preserve">6.  Governing law</w:t>
      </w:r>
    </w:p>
    <w:p>
      <w:pPr>
        <w:pStyle w:val="ListParagraph"/>
        <w:numPr>
          <w:ilvl w:val="0"/>
          <w:numId w:val="2"/>
        </w:numPr>
        <w:spacing w:after="110" w:line="276"/>
      </w:pPr>
      <w:r>
        <w:t xml:space="preserve">This Deed and any non-contractual obligations arising out of it are governed by English law; the courts of England have exclusive jurisdiction.</w:t>
      </w:r>
    </w:p>
    <w:p>
      <w:pPr>
        <w:spacing w:after="120" w:line="276"/>
      </w:pPr>
    </w:p>
    <w:p>
      <w:pPr>
        <w:spacing w:after="160" w:line="276"/>
      </w:pPr>
      <w:r>
        <w:t xml:space="preserve">Executed as a deed by the parties on the date stated at the beginning of it.</w:t>
      </w:r>
    </w:p>
    <w:tbl>
      <w:tblPr>
        <w:tblW w:type="dxa" w:w="8826"/>
        <w:tblBorders>
          <w:top w:val="single" w:color="auto" w:sz="4"/>
          <w:left w:val="single" w:color="auto" w:sz="4"/>
          <w:bottom w:val="single" w:color="auto" w:sz="4"/>
          <w:right w:val="single" w:color="auto" w:sz="4"/>
          <w:insideH w:val="single" w:color="auto" w:sz="4"/>
          <w:insideV w:val="single" w:color="auto" w:sz="4"/>
        </w:tblBorders>
      </w:tblPr>
      <w:tblGrid>
        <w:gridCol w:w="4413"/>
        <w:gridCol w:w="4413"/>
      </w:tblGrid>
      <w:tr>
        <w:tc>
          <w:tcPr>
            <w:tcW w:type="dxa" w:w="4413"/>
            <w:tcBorders>
              <w:top w:val="none"/>
              <w:left w:val="none"/>
              <w:bottom w:val="none"/>
              <w:right w:val="none"/>
            </w:tcBorders>
            <w:tcMar>
              <w:top w:type="dxa" w:w="120"/>
              <w:left w:type="dxa" w:w="60"/>
              <w:bottom w:type="dxa" w:w="120"/>
              <w:right w:type="dxa" w:w="60"/>
            </w:tcMar>
          </w:tcPr>
          <w:p>
            <w:pPr>
              <w:spacing w:after="40"/>
            </w:pPr>
            <w:r>
              <w:rPr>
                <w:sz w:val="19"/>
                <w:szCs w:val="19"/>
              </w:rPr>
              <w:t xml:space="preserve">EXECUTED as a deed by</w:t>
            </w:r>
          </w:p>
          <w:p>
            <w:pPr>
              <w:spacing w:after="40"/>
            </w:pPr>
            <w:r>
              <w:rPr>
                <w:sz w:val="19"/>
                <w:szCs w:val="19"/>
              </w:rPr>
              <w:t xml:space="preserve">NORTHBANK PLC (Security Agent, Senior Agent, Super-Senior Lender)</w:t>
            </w:r>
          </w:p>
        </w:tc>
        <w:tc>
          <w:tcPr>
            <w:tcW w:type="dxa" w:w="4413"/>
            <w:tcBorders>
              <w:top w:val="none"/>
              <w:left w:val="none"/>
              <w:bottom w:val="none"/>
              <w:right w:val="none"/>
            </w:tcBorders>
            <w:tcMar>
              <w:top w:type="dxa" w:w="120"/>
              <w:left w:type="dxa" w:w="60"/>
              <w:bottom w:type="dxa" w:w="120"/>
              <w:right w:type="dxa" w:w="60"/>
            </w:tcMar>
          </w:tcPr>
          <w:p>
            <w:pPr>
              <w:spacing w:after="40"/>
            </w:pPr>
            <w:r>
              <w:rPr>
                <w:sz w:val="19"/>
                <w:szCs w:val="19"/>
              </w:rPr>
              <w:t xml:space="preserve">EXECUTED as a deed by</w:t>
            </w:r>
          </w:p>
          <w:p>
            <w:pPr>
              <w:spacing w:after="40"/>
            </w:pPr>
            <w:r>
              <w:rPr>
                <w:sz w:val="19"/>
                <w:szCs w:val="19"/>
              </w:rPr>
              <w:t xml:space="preserve">CALVERTON INDUSTRIES LIMITED (for itself and the Obligors)</w:t>
            </w:r>
          </w:p>
        </w:tc>
      </w:tr>
      <w:tr>
        <w:tc>
          <w:tcPr>
            <w:tcW w:type="dxa" w:w="4413"/>
            <w:tcBorders>
              <w:top w:val="none"/>
              <w:left w:val="none"/>
              <w:bottom w:val="none"/>
              <w:right w:val="none"/>
            </w:tcBorders>
            <w:tcMar>
              <w:top w:type="dxa" w:w="120"/>
              <w:left w:type="dxa" w:w="60"/>
              <w:bottom w:type="dxa" w:w="120"/>
              <w:right w:type="dxa" w:w="60"/>
            </w:tcMar>
          </w:tcPr>
          <w:p>
            <w:pPr>
              <w:spacing w:after="40"/>
            </w:pPr>
            <w:r>
              <w:rPr>
                <w:sz w:val="19"/>
                <w:szCs w:val="19"/>
              </w:rPr>
              <w:t xml:space="preserve">EXECUTED as a deed by</w:t>
            </w:r>
          </w:p>
          <w:p>
            <w:pPr>
              <w:spacing w:after="40"/>
            </w:pPr>
            <w:r>
              <w:rPr>
                <w:sz w:val="19"/>
                <w:szCs w:val="19"/>
              </w:rPr>
              <w:t xml:space="preserve">ALDERMARSH NOMINEES LIMITED</w:t>
            </w:r>
          </w:p>
        </w:tc>
        <w:tc>
          <w:tcPr>
            <w:tcW w:type="dxa" w:w="4413"/>
            <w:tcBorders>
              <w:top w:val="none"/>
              <w:left w:val="none"/>
              <w:bottom w:val="none"/>
              <w:right w:val="none"/>
            </w:tcBorders>
            <w:tcMar>
              <w:top w:type="dxa" w:w="120"/>
              <w:left w:type="dxa" w:w="60"/>
              <w:bottom w:type="dxa" w:w="120"/>
              <w:right w:type="dxa" w:w="60"/>
            </w:tcMar>
          </w:tcPr>
          <w:p>
            <w:pPr>
              <w:spacing w:after="40"/>
            </w:pPr>
            <w:r>
              <w:rPr>
                <w:sz w:val="19"/>
                <w:szCs w:val="19"/>
              </w:rPr>
              <w:t xml:space="preserve"/>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pPr>
    <w:r>
      <w:rPr>
        <w:color w:val="888888"/>
        <w:sz w:val="14"/>
        <w:szCs w:val="14"/>
      </w:rPr>
      <w:t xml:space="preserve">Whitfield Carter LLP — Strictly private and confidential. Project Ironhold — Intercreditor Deed</w:t>
    </w:r>
    <w:r>
      <w:rPr>
        <w:color w:val="888888"/>
        <w:sz w:val="14"/>
        <w:szCs w:val="14"/>
      </w:rPr>
      <w:t xml:space="preserve">	Page </w:t>
    </w:r>
    <w:r>
      <w:rPr>
        <w:color w:val="888888"/>
        <w:sz w:val="14"/>
        <w:szCs w:val="14"/>
      </w:rPr>
      <w:fldChar w:fldCharType="begin"/>
      <w:instrText xml:space="preserve">PAGE</w:instrText>
      <w:fldChar w:fldCharType="separate"/>
      <w:fldChar w:fldCharType="end"/>
    </w:r>
    <w:r>
      <w:rPr>
        <w:color w:val="888888"/>
        <w:sz w:val="14"/>
        <w:szCs w:val="14"/>
      </w:rPr>
      <w:t xml:space="preserve"> of </w:t>
    </w:r>
    <w:r>
      <w:rPr>
        <w:color w:val="888888"/>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20"/>
    </w:pPr>
    <w:r>
      <w:rPr>
        <w:rFonts w:ascii="Georgia" w:cs="Georgia" w:eastAsia="Georgia" w:hAnsi="Georgia"/>
        <w:b/>
        <w:bCs/>
        <w:color w:val="1F3864"/>
        <w:sz w:val="24"/>
        <w:szCs w:val="24"/>
      </w:rPr>
      <w:t xml:space="preserve">Whitfield Carter LLP</w:t>
    </w:r>
  </w:p>
  <w:p>
    <w:pPr>
      <w:pBdr>
        <w:bottom w:val="single" w:color="1F3864" w:sz="6" w:space="6"/>
      </w:pBdr>
      <w:spacing w:after="180"/>
    </w:pPr>
    <w:r>
      <w:rPr>
        <w:color w:val="666666"/>
        <w:sz w:val="15"/>
        <w:szCs w:val="15"/>
      </w:rPr>
      <w:t xml:space="preserve">22 Bishopsgate, London EC2N 4BQ  |  www.whitfieldcarter.com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20" w:hanging="520"/>
      </w:pPr>
    </w:lvl>
    <w:lvl w:ilvl="1" w15:tentative="1">
      <w:start w:val="1"/>
      <w:numFmt w:val="decimal"/>
      <w:lvlText w:val="%1.%2"/>
      <w:lvlJc w:val="left"/>
      <w:pPr>
        <w:ind w:left="900" w:hanging="560"/>
      </w:pPr>
    </w:lvl>
    <w:lvl w:ilvl="2" w15:tentative="1">
      <w:start w:val="1"/>
      <w:numFmt w:val="lowerLetter"/>
      <w:lvlText w:val="(%3)"/>
      <w:lvlJc w:val="left"/>
      <w:pPr>
        <w:ind w:left="1400" w:hanging="500"/>
      </w:pPr>
    </w:lvl>
  </w:abstractNum>
  <w:abstractNum w:abstractNumId="3" w15:restartNumberingAfterBreak="0">
    <w:multiLevelType w:val="hybridMultilevel"/>
    <w:lvl w:ilvl="0" w15:tentative="1">
      <w:start w:val="1"/>
      <w:numFmt w:val="upperLetter"/>
      <w:lvlText w:val="(%1)"/>
      <w:lvlJc w:val="left"/>
      <w:pPr>
        <w:ind w:left="760" w:hanging="520"/>
      </w:pPr>
    </w:lvl>
  </w:abstractNum>
  <w:abstractNum w:abstractNumId="4" w15:restartNumberingAfterBreak="0">
    <w:multiLevelType w:val="hybridMultilevel"/>
    <w:lvl w:ilvl="0" w15:tentative="1">
      <w:start w:val="1"/>
      <w:numFmt w:val="bullet"/>
      <w:lvlText w:val="•"/>
      <w:lvlJc w:val="left"/>
      <w:pPr>
        <w:ind w:left="62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60"/>
      <w:outlineLvl w:val="0"/>
    </w:pPr>
    <w:rPr>
      <w:rFonts w:ascii="Georgia" w:cs="Georgia" w:eastAsia="Georgia" w:hAnsi="Georgia"/>
      <w:b/>
      <w:bCs/>
      <w:sz w:val="25"/>
      <w:szCs w:val="25"/>
    </w:rPr>
  </w:style>
  <w:style w:type="paragraph" w:styleId="Heading2">
    <w:name w:val="Heading 2"/>
    <w:basedOn w:val="Normal"/>
    <w:next w:val="Normal"/>
    <w:qFormat/>
    <w:pPr>
      <w:spacing w:after="90" w:before="180"/>
      <w:outlineLvl w:val="1"/>
    </w:pPr>
    <w:rPr>
      <w:rFonts w:ascii="Georgia" w:cs="Georgia" w:eastAsia="Georgia" w:hAnsi="Georgia"/>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2026-07-01T11:31:23.472Z</dcterms:created>
  <dcterms:modified xsi:type="dcterms:W3CDTF">2026-07-01T11:31:23.472Z</dcterms:modified>
</cp:coreProperties>
</file>

<file path=docProps/custom.xml><?xml version="1.0" encoding="utf-8"?>
<Properties xmlns="http://schemas.openxmlformats.org/officeDocument/2006/custom-properties" xmlns:vt="http://schemas.openxmlformats.org/officeDocument/2006/docPropsVTypes"/>
</file>