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jc w:val="center"/>
      </w:pPr>
      <w:r>
        <w:rPr>
          <w:b/>
          <w:bCs/>
          <w:sz w:val="22"/>
          <w:szCs w:val="22"/>
        </w:rPr>
        <w:t xml:space="preserve">DATED            2026</w:t>
      </w:r>
    </w:p>
    <w:p>
      <w:pPr>
        <w:spacing w:after="120"/>
        <w:jc w:val="center"/>
      </w:pPr>
      <w:r>
        <w:rPr>
          <w:b/>
          <w:bCs/>
          <w:sz w:val="26"/>
          <w:szCs w:val="26"/>
        </w:rPr>
        <w:t xml:space="preserve">SECURITY CONFIRMATION DEED</w:t>
      </w:r>
    </w:p>
    <w:p>
      <w:pPr>
        <w:spacing w:after="200"/>
        <w:jc w:val="center"/>
      </w:pPr>
      <w:r>
        <w:rPr>
          <w:i/>
          <w:iCs/>
          <w:sz w:val="20"/>
          <w:szCs w:val="20"/>
        </w:rPr>
        <w:t xml:space="preserve">Project Ironhold — confirmation of existing Transaction Security</w:t>
      </w:r>
    </w:p>
    <w:p>
      <w:pPr>
        <w:spacing w:after="160" w:line="276"/>
      </w:pPr>
      <w:r>
        <w:t xml:space="preserve">PARTIES: Calverton Industries Limited, Calverton Fastenings Limited and Calverton Fluid Systems Limited (as Chargors); and Northbank plc (as Security Agent).</w:t>
      </w:r>
    </w:p>
    <w:p>
      <w:pPr>
        <w:pStyle w:val="Heading1"/>
      </w:pPr>
      <w:r>
        <w:t xml:space="preserve">1.  Confirmation</w:t>
      </w:r>
    </w:p>
    <w:p>
      <w:pPr>
        <w:pStyle w:val="ListParagraph"/>
        <w:numPr>
          <w:ilvl w:val="0"/>
          <w:numId w:val="2"/>
        </w:numPr>
        <w:spacing w:after="110" w:line="276"/>
      </w:pPr>
      <w:r>
        <w:t xml:space="preserve">Each Chargor confirms that, notwithstanding the amendment and restatement of the Senior Facilities Agreement, the introduction of the Super-Senior Facility and the other transactions contemplated by the Restructuring, the Transaction Security created by it: (a) continues in full force and effect; (b) extends to the Obligors’ obligations under the Amended Facilities Agreement and the Super-Senior Facility; and (c) secures the Senior Liabilities and the Super-Senior Liabilities.</w:t>
      </w:r>
    </w:p>
    <w:p>
      <w:pPr>
        <w:pStyle w:val="Heading1"/>
      </w:pPr>
      <w:r>
        <w:t xml:space="preserve">2.  New security</w:t>
      </w:r>
    </w:p>
    <w:p>
      <w:pPr>
        <w:pStyle w:val="ListParagraph"/>
        <w:numPr>
          <w:ilvl w:val="0"/>
          <w:numId w:val="2"/>
        </w:numPr>
        <w:spacing w:after="110" w:line="276"/>
      </w:pPr>
      <w:r>
        <w:t xml:space="preserve">Calverton Fluid Systems Limited shall on the date of this Deed grant a new debenture in favour of the Security Agent, and Calverton Fastenings Limited shall grant a legal charge over its freehold property at Ryebank Road, Redditch, in each case in the agreed form.</w:t>
      </w:r>
    </w:p>
    <w:p>
      <w:pPr>
        <w:pStyle w:val="Heading1"/>
      </w:pPr>
      <w:r>
        <w:t xml:space="preserve">3.  Continuing effect and further assurance</w:t>
      </w:r>
    </w:p>
    <w:p>
      <w:pPr>
        <w:pStyle w:val="ListParagraph"/>
        <w:numPr>
          <w:ilvl w:val="0"/>
          <w:numId w:val="2"/>
        </w:numPr>
        <w:spacing w:after="110" w:line="276"/>
      </w:pPr>
      <w:r>
        <w:t xml:space="preserve">This Deed does not release, discharge or novate any Transaction Security. Each Chargor shall execute such documents and do such things as the Security Agent reasonably requires to perfect or give effect to the Transaction Security.</w:t>
      </w:r>
    </w:p>
    <w:p>
      <w:pPr>
        <w:pStyle w:val="Heading1"/>
      </w:pPr>
      <w:r>
        <w:t xml:space="preserve">4.  Governing law</w:t>
      </w:r>
    </w:p>
    <w:p>
      <w:pPr>
        <w:pStyle w:val="ListParagraph"/>
        <w:numPr>
          <w:ilvl w:val="0"/>
          <w:numId w:val="2"/>
        </w:numPr>
        <w:spacing w:after="110" w:line="276"/>
      </w:pPr>
      <w:r>
        <w:t xml:space="preserve">This Deed and any non-contractual obligations arising out of it are governed by English law; the courts of England have exclusive jurisdiction.</w:t>
      </w:r>
    </w:p>
    <w:p>
      <w:pPr>
        <w:spacing w:after="140" w:line="276"/>
      </w:pPr>
    </w:p>
    <w:p>
      <w:pPr>
        <w:spacing w:after="160" w:line="276"/>
      </w:pPr>
      <w:r>
        <w:t xml:space="preserve">Executed as a deed on the date stated at the beginning of it.</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4413"/>
        <w:gridCol w:w="4413"/>
      </w:tblGrid>
      <w:tr>
        <w:tc>
          <w:tcPr>
            <w:tcW w:type="dxa" w:w="4413"/>
            <w:tcBorders>
              <w:top w:val="none"/>
              <w:left w:val="none"/>
              <w:bottom w:val="none"/>
              <w:right w:val="none"/>
            </w:tcBorders>
            <w:tcMar>
              <w:top w:type="dxa" w:w="120"/>
              <w:left w:type="dxa" w:w="60"/>
              <w:bottom w:type="dxa" w:w="120"/>
              <w:right w:type="dxa" w:w="60"/>
            </w:tcMar>
          </w:tcPr>
          <w:p>
            <w:pPr>
              <w:spacing w:after="40"/>
            </w:pPr>
            <w:r>
              <w:rPr>
                <w:sz w:val="19"/>
                <w:szCs w:val="19"/>
              </w:rPr>
              <w:t xml:space="preserve">EXECUTED as a deed by</w:t>
            </w:r>
          </w:p>
          <w:p>
            <w:pPr>
              <w:spacing w:after="40"/>
            </w:pPr>
            <w:r>
              <w:rPr>
                <w:sz w:val="19"/>
                <w:szCs w:val="19"/>
              </w:rPr>
              <w:t xml:space="preserve">CALVERTON INDUSTRIES LIMITED</w:t>
            </w:r>
          </w:p>
        </w:tc>
        <w:tc>
          <w:tcPr>
            <w:tcW w:type="dxa" w:w="4413"/>
            <w:tcBorders>
              <w:top w:val="none"/>
              <w:left w:val="none"/>
              <w:bottom w:val="none"/>
              <w:right w:val="none"/>
            </w:tcBorders>
            <w:tcMar>
              <w:top w:type="dxa" w:w="120"/>
              <w:left w:type="dxa" w:w="60"/>
              <w:bottom w:type="dxa" w:w="120"/>
              <w:right w:type="dxa" w:w="60"/>
            </w:tcMar>
          </w:tcPr>
          <w:p>
            <w:pPr>
              <w:spacing w:after="40"/>
            </w:pPr>
            <w:r>
              <w:rPr>
                <w:sz w:val="19"/>
                <w:szCs w:val="19"/>
              </w:rPr>
              <w:t xml:space="preserve">EXECUTED as a deed by</w:t>
            </w:r>
          </w:p>
          <w:p>
            <w:pPr>
              <w:spacing w:after="40"/>
            </w:pPr>
            <w:r>
              <w:rPr>
                <w:sz w:val="19"/>
                <w:szCs w:val="19"/>
              </w:rPr>
              <w:t xml:space="preserve">CALVERTON FASTENINGS LIMITED</w:t>
            </w:r>
          </w:p>
        </w:tc>
      </w:tr>
      <w:tr>
        <w:tc>
          <w:tcPr>
            <w:tcW w:type="dxa" w:w="4413"/>
            <w:tcBorders>
              <w:top w:val="none"/>
              <w:left w:val="none"/>
              <w:bottom w:val="none"/>
              <w:right w:val="none"/>
            </w:tcBorders>
            <w:tcMar>
              <w:top w:type="dxa" w:w="120"/>
              <w:left w:type="dxa" w:w="60"/>
              <w:bottom w:type="dxa" w:w="120"/>
              <w:right w:type="dxa" w:w="60"/>
            </w:tcMar>
          </w:tcPr>
          <w:p>
            <w:pPr>
              <w:spacing w:after="40"/>
            </w:pPr>
            <w:r>
              <w:rPr>
                <w:sz w:val="19"/>
                <w:szCs w:val="19"/>
              </w:rPr>
              <w:t xml:space="preserve">EXECUTED as a deed by</w:t>
            </w:r>
          </w:p>
          <w:p>
            <w:pPr>
              <w:spacing w:after="40"/>
            </w:pPr>
            <w:r>
              <w:rPr>
                <w:sz w:val="19"/>
                <w:szCs w:val="19"/>
              </w:rPr>
              <w:t xml:space="preserve">CALVERTON FLUID SYSTEMS LIMITED</w:t>
            </w:r>
          </w:p>
        </w:tc>
        <w:tc>
          <w:tcPr>
            <w:tcW w:type="dxa" w:w="4413"/>
            <w:tcBorders>
              <w:top w:val="none"/>
              <w:left w:val="none"/>
              <w:bottom w:val="none"/>
              <w:right w:val="none"/>
            </w:tcBorders>
            <w:tcMar>
              <w:top w:type="dxa" w:w="120"/>
              <w:left w:type="dxa" w:w="60"/>
              <w:bottom w:type="dxa" w:w="120"/>
              <w:right w:type="dxa" w:w="60"/>
            </w:tcMar>
          </w:tcPr>
          <w:p>
            <w:pPr>
              <w:spacing w:after="40"/>
            </w:pPr>
            <w:r>
              <w:rPr>
                <w:sz w:val="19"/>
                <w:szCs w:val="19"/>
              </w:rPr>
              <w:t xml:space="preserve">EXECUTED as a deed by</w:t>
            </w:r>
          </w:p>
          <w:p>
            <w:pPr>
              <w:spacing w:after="40"/>
            </w:pPr>
            <w:r>
              <w:rPr>
                <w:sz w:val="19"/>
                <w:szCs w:val="19"/>
              </w:rPr>
              <w:t xml:space="preserve">NORTHBANK PLC (Security Agent)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888888"/>
        <w:sz w:val="14"/>
        <w:szCs w:val="14"/>
      </w:rPr>
      <w:t xml:space="preserve">Whitfield Carter LLP — Strictly private and confidential. Project Ironhold — Security Confirmation Deed</w:t>
    </w:r>
    <w:r>
      <w:rPr>
        <w:color w:val="888888"/>
        <w:sz w:val="14"/>
        <w:szCs w:val="14"/>
      </w:rPr>
      <w:t xml:space="preserve">	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rFonts w:ascii="Georgia" w:cs="Georgia" w:eastAsia="Georgia" w:hAnsi="Georgia"/>
        <w:b/>
        <w:bCs/>
        <w:color w:val="1F3864"/>
        <w:sz w:val="24"/>
        <w:szCs w:val="24"/>
      </w:rPr>
      <w:t xml:space="preserve">Whitfield Carter LLP</w:t>
    </w:r>
  </w:p>
  <w:p>
    <w:pPr>
      <w:pBdr>
        <w:bottom w:val="single" w:color="1F3864" w:sz="6" w:space="6"/>
      </w:pBdr>
      <w:spacing w:after="180"/>
    </w:pPr>
    <w:r>
      <w:rPr>
        <w:color w:val="666666"/>
        <w:sz w:val="15"/>
        <w:szCs w:val="15"/>
      </w:rPr>
      <w:t xml:space="preserve">22 Bishopsgate, London EC2N 4BQ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20" w:hanging="520"/>
      </w:pPr>
    </w:lvl>
    <w:lvl w:ilvl="1" w15:tentative="1">
      <w:start w:val="1"/>
      <w:numFmt w:val="decimal"/>
      <w:lvlText w:val="%1.%2"/>
      <w:lvlJc w:val="left"/>
      <w:pPr>
        <w:ind w:left="900" w:hanging="560"/>
      </w:pPr>
    </w:lvl>
    <w:lvl w:ilvl="2" w15:tentative="1">
      <w:start w:val="1"/>
      <w:numFmt w:val="lowerLetter"/>
      <w:lvlText w:val="(%3)"/>
      <w:lvlJc w:val="left"/>
      <w:pPr>
        <w:ind w:left="1400" w:hanging="500"/>
      </w:pPr>
    </w:lvl>
  </w:abstractNum>
  <w:abstractNum w:abstractNumId="3" w15:restartNumberingAfterBreak="0">
    <w:multiLevelType w:val="hybridMultilevel"/>
    <w:lvl w:ilvl="0" w15:tentative="1">
      <w:start w:val="1"/>
      <w:numFmt w:val="upperLetter"/>
      <w:lvlText w:val="(%1)"/>
      <w:lvlJc w:val="left"/>
      <w:pPr>
        <w:ind w:left="760" w:hanging="520"/>
      </w:pPr>
    </w:lvl>
  </w:abstractNum>
  <w:abstractNum w:abstractNumId="4" w15:restartNumberingAfterBreak="0">
    <w:multiLevelType w:val="hybridMultilevel"/>
    <w:lvl w:ilvl="0" w15:tentative="1">
      <w:start w:val="1"/>
      <w:numFmt w:val="bullet"/>
      <w:lvlText w:val="•"/>
      <w:lvlJc w:val="left"/>
      <w:pPr>
        <w:ind w:left="6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Georgia" w:cs="Georgia" w:eastAsia="Georgia" w:hAnsi="Georgia"/>
      <w:b/>
      <w:bCs/>
      <w:sz w:val="25"/>
      <w:szCs w:val="25"/>
    </w:rPr>
  </w:style>
  <w:style w:type="paragraph" w:styleId="Heading2">
    <w:name w:val="Heading 2"/>
    <w:basedOn w:val="Normal"/>
    <w:next w:val="Normal"/>
    <w:qFormat/>
    <w:pPr>
      <w:spacing w:after="90" w:before="180"/>
      <w:outlineLvl w:val="1"/>
    </w:pPr>
    <w:rPr>
      <w:rFonts w:ascii="Georgia" w:cs="Georgia" w:eastAsia="Georgia" w:hAnsi="Georgia"/>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2026-07-01T11:31:23.480Z</dcterms:created>
  <dcterms:modified xsi:type="dcterms:W3CDTF">2026-07-01T11:31:23.480Z</dcterms:modified>
</cp:coreProperties>
</file>

<file path=docProps/custom.xml><?xml version="1.0" encoding="utf-8"?>
<Properties xmlns="http://schemas.openxmlformats.org/officeDocument/2006/custom-properties" xmlns:vt="http://schemas.openxmlformats.org/officeDocument/2006/docPropsVTypes"/>
</file>