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2"/>
          <w:szCs w:val="22"/>
        </w:rPr>
        <w:t xml:space="preserve">DATED 20 FEBRUARY 2026</w:t>
      </w:r>
    </w:p>
    <w:p>
      <w:pPr>
        <w:spacing w:after="120"/>
        <w:jc w:val="center"/>
      </w:pPr>
      <w:r>
        <w:rPr>
          <w:b/>
          <w:bCs/>
          <w:sz w:val="26"/>
          <w:szCs w:val="26"/>
        </w:rPr>
        <w:t xml:space="preserve">STANDSTILL AND FORBEARANCE AGREEMENT</w:t>
      </w:r>
    </w:p>
    <w:p>
      <w:pPr>
        <w:spacing w:after="200"/>
        <w:jc w:val="center"/>
      </w:pPr>
      <w:r>
        <w:rPr>
          <w:i/>
          <w:iCs/>
          <w:sz w:val="20"/>
          <w:szCs w:val="20"/>
        </w:rPr>
        <w:t xml:space="preserve">relating to the Senior Facilities Agreement dated 14 June 2022</w:t>
      </w:r>
    </w:p>
    <w:p>
      <w:pPr>
        <w:spacing w:after="120" w:line="276"/>
        <w:jc w:val="center"/>
      </w:pPr>
      <w:r>
        <w:t xml:space="preserve">between</w:t>
      </w:r>
    </w:p>
    <w:p>
      <w:pPr>
        <w:spacing w:after="80" w:line="276"/>
      </w:pPr>
      <w:r>
        <w:t xml:space="preserve">(1)  CALVERTON INDUSTRIES LIMITED (company no. 04127786) as Company, for itself and as agent for the Obligors;</w:t>
      </w:r>
    </w:p>
    <w:p>
      <w:pPr>
        <w:spacing w:after="80" w:line="276"/>
      </w:pPr>
      <w:r>
        <w:t xml:space="preserve">(2)  NORTHBANK PLC as Agent and Security Agent; and</w:t>
      </w:r>
    </w:p>
    <w:p>
      <w:pPr>
        <w:spacing w:after="160" w:line="276"/>
      </w:pPr>
      <w:r>
        <w:t xml:space="preserve">(3)  NORTHBANK PLC as the sole Lender under the Senior Facilities Agreement.</w:t>
      </w:r>
    </w:p>
    <w:p>
      <w:pPr>
        <w:pStyle w:val="Heading1"/>
      </w:pPr>
      <w:r>
        <w:t xml:space="preserve">Recitals</w:t>
      </w:r>
    </w:p>
    <w:p>
      <w:pPr>
        <w:pStyle w:val="ListParagraph"/>
        <w:numPr>
          <w:ilvl w:val="0"/>
          <w:numId w:val="2"/>
        </w:numPr>
        <w:spacing w:after="120" w:line="276"/>
      </w:pPr>
      <w:r>
        <w:t xml:space="preserve">The Company and the other Obligors are party to a senior facilities agreement dated 14 June 2022 (the “Senior Facilities Agreement”) under which Northbank plc made available a term loan facility of £42,000,000 and a revolving credit facility of £8,000,000.</w:t>
      </w:r>
    </w:p>
    <w:p>
      <w:pPr>
        <w:pStyle w:val="ListParagraph"/>
        <w:numPr>
          <w:ilvl w:val="0"/>
          <w:numId w:val="2"/>
        </w:numPr>
        <w:spacing w:after="120" w:line="276"/>
      </w:pPr>
      <w:r>
        <w:t xml:space="preserve">On 6 February 2026 the Company notified the Agent that the financial covenants in Clause 21 of the Senior Facilities Agreement had been breached at the December 2025 test date, giving rise to Events of Default (the “Specified Defaults”).</w:t>
      </w:r>
    </w:p>
    <w:p>
      <w:pPr>
        <w:pStyle w:val="ListParagraph"/>
        <w:numPr>
          <w:ilvl w:val="0"/>
          <w:numId w:val="2"/>
        </w:numPr>
        <w:spacing w:after="120" w:line="276"/>
      </w:pPr>
      <w:r>
        <w:t xml:space="preserve">The parties wish to agree a short standstill period during which the Lender will not exercise its rights and remedies in respect of the Specified Defaults, to allow the parties to negotiate a consensual restructuring of the Group’s indebtedness on the terms contemplated by the restructuring term sheet dated 18 February 2026.</w:t>
      </w:r>
    </w:p>
    <w:p>
      <w:pPr>
        <w:pStyle w:val="Heading1"/>
      </w:pPr>
      <w:r>
        <w:t xml:space="preserve">Operative provisions</w:t>
      </w:r>
    </w:p>
    <w:p>
      <w:pPr>
        <w:pStyle w:val="ListParagraph"/>
        <w:numPr>
          <w:ilvl w:val="0"/>
          <w:numId w:val="3"/>
        </w:numPr>
        <w:spacing w:after="120" w:line="276"/>
      </w:pPr>
      <w:r>
        <w:rPr>
          <w:b/>
          <w:bCs/>
        </w:rPr>
        <w:t xml:space="preserve">Definitions and interpretation.</w:t>
      </w:r>
      <w:r>
        <w:t xml:space="preserve"> Terms defined in the Senior Facilities Agreement have the same meaning in this Agreement unless otherwise defined. “Standstill Period” means the period from the date of this Agreement to the Standstill Termination Date.</w:t>
      </w:r>
    </w:p>
    <w:p>
      <w:pPr>
        <w:pStyle w:val="ListParagraph"/>
        <w:numPr>
          <w:ilvl w:val="0"/>
          <w:numId w:val="3"/>
        </w:numPr>
        <w:spacing w:after="120" w:line="276"/>
      </w:pPr>
      <w:r>
        <w:rPr>
          <w:b/>
          <w:bCs/>
        </w:rPr>
        <w:t xml:space="preserve">Acknowledgement of default.</w:t>
      </w:r>
      <w:r>
        <w:t xml:space="preserve"> The Company acknowledges that the Specified Defaults have occurred and are continuing, that they constitute Events of Default, and that but for this Agreement the Lender would be entitled to accelerate the facilities and enforce its security.</w:t>
      </w:r>
    </w:p>
    <w:p>
      <w:pPr>
        <w:pStyle w:val="ListParagraph"/>
        <w:numPr>
          <w:ilvl w:val="0"/>
          <w:numId w:val="3"/>
        </w:numPr>
        <w:spacing w:after="120" w:line="276"/>
      </w:pPr>
      <w:r>
        <w:rPr>
          <w:b/>
          <w:bCs/>
        </w:rPr>
        <w:t xml:space="preserve">Standstill.</w:t>
      </w:r>
      <w:r>
        <w:t xml:space="preserve"> During the Standstill Period, the Lender agrees that it will not, in respect of the Specified Defaults only:</w:t>
      </w:r>
    </w:p>
    <w:p>
      <w:pPr>
        <w:pStyle w:val="ListParagraph"/>
        <w:numPr>
          <w:ilvl w:val="2"/>
          <w:numId w:val="3"/>
        </w:numPr>
        <w:spacing w:after="120" w:line="276"/>
      </w:pPr>
      <w:r>
        <w:t xml:space="preserve">accelerate or demand repayment of the facilities;</w:t>
      </w:r>
    </w:p>
    <w:p>
      <w:pPr>
        <w:pStyle w:val="ListParagraph"/>
        <w:numPr>
          <w:ilvl w:val="2"/>
          <w:numId w:val="3"/>
        </w:numPr>
        <w:spacing w:after="120" w:line="276"/>
      </w:pPr>
      <w:r>
        <w:t xml:space="preserve">enforce, or take steps to enforce, any Transaction Security;</w:t>
      </w:r>
    </w:p>
    <w:p>
      <w:pPr>
        <w:pStyle w:val="ListParagraph"/>
        <w:numPr>
          <w:ilvl w:val="2"/>
          <w:numId w:val="3"/>
        </w:numPr>
        <w:spacing w:after="120" w:line="276"/>
      </w:pPr>
      <w:r>
        <w:t xml:space="preserve">commence any insolvency or enforcement proceedings against any Obligor; or</w:t>
      </w:r>
    </w:p>
    <w:p>
      <w:pPr>
        <w:pStyle w:val="ListParagraph"/>
        <w:numPr>
          <w:ilvl w:val="2"/>
          <w:numId w:val="3"/>
        </w:numPr>
        <w:spacing w:after="120" w:line="276"/>
      </w:pPr>
      <w:r>
        <w:t xml:space="preserve">exercise any right of set-off (other than in the ordinary course of the cash-management arrangements).</w:t>
      </w:r>
    </w:p>
    <w:p>
      <w:pPr>
        <w:pStyle w:val="ListParagraph"/>
        <w:numPr>
          <w:ilvl w:val="0"/>
          <w:numId w:val="3"/>
        </w:numPr>
        <w:spacing w:after="120" w:line="276"/>
      </w:pPr>
      <w:r>
        <w:rPr>
          <w:b/>
          <w:bCs/>
        </w:rPr>
        <w:t xml:space="preserve">Standstill Termination Date.</w:t>
      </w:r>
      <w:r>
        <w:t xml:space="preserve"> The Standstill Period ends on the earliest of: (a) 30 April 2026; (b) the occurrence of any Event of Default other than the Specified Defaults; (c) any breach by an Obligor of this Agreement; and (d) the Restructuring Effective Date under the Amendment and Restatement Agreement.</w:t>
      </w:r>
    </w:p>
    <w:p>
      <w:pPr>
        <w:pStyle w:val="ListParagraph"/>
        <w:numPr>
          <w:ilvl w:val="0"/>
          <w:numId w:val="3"/>
        </w:numPr>
        <w:spacing w:after="120" w:line="276"/>
      </w:pPr>
      <w:r>
        <w:rPr>
          <w:b/>
          <w:bCs/>
        </w:rPr>
        <w:t xml:space="preserve">Standstill undertakings.</w:t>
      </w:r>
      <w:r>
        <w:t xml:space="preserve"> During the Standstill Period each Obligor undertakes to: (a) provide the Agent with a rolling 13-week cashflow forecast, updated weekly; (b) grant the Agent and its advisers access to the Group’s books, records and management; (c) not make any payment to the Shareholder or in respect of the Shareholder Loans; (d) not incur financial indebtedness or grant security outside the ordinary course; and (e) procure that the independent business review by Marlow Tax &amp; Advisory Ltd is completed by 20 March 2026.</w:t>
      </w:r>
    </w:p>
    <w:p>
      <w:pPr>
        <w:pStyle w:val="ListParagraph"/>
        <w:numPr>
          <w:ilvl w:val="0"/>
          <w:numId w:val="3"/>
        </w:numPr>
        <w:spacing w:after="120" w:line="276"/>
      </w:pPr>
      <w:r>
        <w:rPr>
          <w:b/>
          <w:bCs/>
        </w:rPr>
        <w:t xml:space="preserve">Default interest and fees.</w:t>
      </w:r>
      <w:r>
        <w:t xml:space="preserve"> Default interest continues to accrue on the outstanding amounts at the rate provided in the Senior Facilities Agreement. The Company shall pay a standstill fee of £120,000 to the Agent on the date of this Agreement, and shall meet the Agent’s and its advisers’ costs on demand.</w:t>
      </w:r>
    </w:p>
    <w:p>
      <w:pPr>
        <w:pStyle w:val="ListParagraph"/>
        <w:numPr>
          <w:ilvl w:val="0"/>
          <w:numId w:val="3"/>
        </w:numPr>
        <w:spacing w:after="120" w:line="276"/>
      </w:pPr>
      <w:r>
        <w:rPr>
          <w:b/>
          <w:bCs/>
        </w:rPr>
        <w:t xml:space="preserve">Reservation of rights.</w:t>
      </w:r>
      <w:r>
        <w:t xml:space="preserve"> Save as expressly set out in this Agreement, all the rights and remedies of the Finance Parties under the Finance Documents are reserved. Nothing in this Agreement is a waiver of the Specified Defaults or of any other Default.</w:t>
      </w:r>
    </w:p>
    <w:p>
      <w:pPr>
        <w:pStyle w:val="ListParagraph"/>
        <w:numPr>
          <w:ilvl w:val="0"/>
          <w:numId w:val="3"/>
        </w:numPr>
        <w:spacing w:after="120" w:line="276"/>
      </w:pPr>
      <w:r>
        <w:rPr>
          <w:b/>
          <w:bCs/>
        </w:rPr>
        <w:t xml:space="preserve">No representations.</w:t>
      </w:r>
      <w:r>
        <w:t xml:space="preserve"> Each Obligor confirms that it does not rely on any representation by any Finance Party that the restructuring will complete, and that the Finance Parties are under no obligation to agree any restructuring.</w:t>
      </w:r>
    </w:p>
    <w:p>
      <w:pPr>
        <w:pStyle w:val="ListParagraph"/>
        <w:numPr>
          <w:ilvl w:val="0"/>
          <w:numId w:val="3"/>
        </w:numPr>
        <w:spacing w:after="120" w:line="276"/>
      </w:pPr>
      <w:r>
        <w:rPr>
          <w:b/>
          <w:bCs/>
        </w:rPr>
        <w:t xml:space="preserve">Governing law and jurisdiction.</w:t>
      </w:r>
      <w:r>
        <w:t xml:space="preserve"> This Agreement and any non-contractual obligations arising out of it are governed by English law, and the courts of England have exclusive jurisdiction.</w:t>
      </w:r>
    </w:p>
    <w:p>
      <w:pPr>
        <w:spacing w:after="120" w:line="276"/>
      </w:pPr>
      <w:r>
        <w:t xml:space="preserve"/>
      </w:r>
    </w:p>
    <w:p>
      <w:pPr>
        <w:spacing w:after="200" w:line="276"/>
      </w:pPr>
      <w:r>
        <w:t xml:space="preserve">This Agreement has been entered into on the date stated at the beginning of it.</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4413"/>
        <w:gridCol w:w="4413"/>
      </w:tblGrid>
      <w:tr>
        <w:tc>
          <w:tcPr>
            <w:tcW w:type="dxa" w:w="4413"/>
            <w:tcBorders>
              <w:top w:val="none"/>
              <w:left w:val="none"/>
              <w:bottom w:val="none"/>
              <w:right w:val="none"/>
            </w:tcBorders>
            <w:tcMar>
              <w:top w:type="dxa" w:w="120"/>
              <w:left w:type="dxa" w:w="60"/>
              <w:bottom w:type="dxa" w:w="120"/>
              <w:right w:type="dxa" w:w="60"/>
            </w:tcMar>
          </w:tcPr>
          <w:p>
            <w:pPr>
              <w:spacing w:after="40"/>
            </w:pPr>
            <w:r>
              <w:rPr>
                <w:sz w:val="19"/>
                <w:szCs w:val="19"/>
              </w:rPr>
              <w:t xml:space="preserve">SIGNED for and on behalf of</w:t>
            </w:r>
          </w:p>
          <w:p>
            <w:pPr>
              <w:spacing w:after="40"/>
            </w:pPr>
            <w:r>
              <w:rPr>
                <w:sz w:val="19"/>
                <w:szCs w:val="19"/>
              </w:rPr>
              <w:t xml:space="preserve">CALVERTON INDUSTRIES LIMITED</w:t>
            </w:r>
          </w:p>
        </w:tc>
        <w:tc>
          <w:tcPr>
            <w:tcW w:type="dxa" w:w="4413"/>
            <w:tcBorders>
              <w:top w:val="none"/>
              <w:left w:val="none"/>
              <w:bottom w:val="none"/>
              <w:right w:val="none"/>
            </w:tcBorders>
            <w:tcMar>
              <w:top w:type="dxa" w:w="120"/>
              <w:left w:type="dxa" w:w="60"/>
              <w:bottom w:type="dxa" w:w="120"/>
              <w:right w:type="dxa" w:w="60"/>
            </w:tcMar>
          </w:tcPr>
          <w:p>
            <w:pPr>
              <w:spacing w:after="40"/>
            </w:pPr>
            <w:r>
              <w:rPr>
                <w:sz w:val="19"/>
                <w:szCs w:val="19"/>
              </w:rPr>
              <w:t xml:space="preserve">SIGNED for and on behalf of</w:t>
            </w:r>
          </w:p>
          <w:p>
            <w:pPr>
              <w:spacing w:after="40"/>
            </w:pPr>
            <w:r>
              <w:rPr>
                <w:sz w:val="19"/>
                <w:szCs w:val="19"/>
              </w:rPr>
              <w:t xml:space="preserve">NORTHBANK PLC (as Agent, Security Agent and Lender)</w:t>
            </w:r>
          </w:p>
        </w:tc>
      </w:tr>
      <w:tr>
        <w:tc>
          <w:tcPr>
            <w:tcW w:type="dxa" w:w="4413"/>
            <w:tcBorders>
              <w:top w:val="none"/>
              <w:left w:val="none"/>
              <w:bottom w:val="none"/>
              <w:right w:val="none"/>
            </w:tcBorders>
            <w:tcMar>
              <w:top w:type="dxa" w:w="120"/>
              <w:left w:type="dxa" w:w="60"/>
              <w:bottom w:type="dxa" w:w="120"/>
              <w:right w:type="dxa" w:w="60"/>
            </w:tcMar>
          </w:tcPr>
          <w:p>
            <w:pPr>
              <w:spacing w:after="40"/>
            </w:pPr>
            <w:r>
              <w:rPr>
                <w:sz w:val="19"/>
                <w:szCs w:val="19"/>
              </w:rPr>
              <w:t xml:space="preserve">......................................</w:t>
            </w:r>
          </w:p>
          <w:p>
            <w:pPr>
              <w:spacing w:after="40"/>
            </w:pPr>
            <w:r>
              <w:rPr>
                <w:sz w:val="19"/>
                <w:szCs w:val="19"/>
              </w:rPr>
              <w:t xml:space="preserve">Director</w:t>
            </w:r>
          </w:p>
        </w:tc>
        <w:tc>
          <w:tcPr>
            <w:tcW w:type="dxa" w:w="4413"/>
            <w:tcBorders>
              <w:top w:val="none"/>
              <w:left w:val="none"/>
              <w:bottom w:val="none"/>
              <w:right w:val="none"/>
            </w:tcBorders>
            <w:tcMar>
              <w:top w:type="dxa" w:w="120"/>
              <w:left w:type="dxa" w:w="60"/>
              <w:bottom w:type="dxa" w:w="120"/>
              <w:right w:type="dxa" w:w="60"/>
            </w:tcMar>
          </w:tcPr>
          <w:p>
            <w:pPr>
              <w:spacing w:after="40"/>
            </w:pPr>
            <w:r>
              <w:rPr>
                <w:sz w:val="19"/>
                <w:szCs w:val="19"/>
              </w:rPr>
              <w:t xml:space="preserve">......................................</w:t>
            </w:r>
          </w:p>
          <w:p>
            <w:pPr>
              <w:spacing w:after="40"/>
            </w:pPr>
            <w:r>
              <w:rPr>
                <w:sz w:val="19"/>
                <w:szCs w:val="19"/>
              </w:rPr>
              <w:t xml:space="preserve">Authorised signatory</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888888"/>
        <w:sz w:val="14"/>
        <w:szCs w:val="14"/>
      </w:rPr>
      <w:t xml:space="preserve">Whitfield Carter LLP — Strictly private and confidential. Project Ironhold — Standstill Agreement</w:t>
    </w:r>
    <w:r>
      <w:rPr>
        <w:color w:val="888888"/>
        <w:sz w:val="14"/>
        <w:szCs w:val="14"/>
      </w:rPr>
      <w:t xml:space="preserve">	Page </w:t>
    </w:r>
    <w:r>
      <w:rPr>
        <w:color w:val="888888"/>
        <w:sz w:val="14"/>
        <w:szCs w:val="14"/>
      </w:rPr>
      <w:fldChar w:fldCharType="begin"/>
      <w:instrText xml:space="preserve">PAGE</w:instrText>
      <w:fldChar w:fldCharType="separate"/>
      <w:fldChar w:fldCharType="end"/>
    </w:r>
    <w:r>
      <w:rPr>
        <w:color w:val="888888"/>
        <w:sz w:val="14"/>
        <w:szCs w:val="14"/>
      </w:rPr>
      <w:t xml:space="preserve"> of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rFonts w:ascii="Georgia" w:cs="Georgia" w:eastAsia="Georgia" w:hAnsi="Georgia"/>
        <w:b/>
        <w:bCs/>
        <w:color w:val="1F3864"/>
        <w:sz w:val="26"/>
        <w:szCs w:val="26"/>
      </w:rPr>
      <w:t xml:space="preserve">Whitfield Carter LLP</w:t>
    </w:r>
  </w:p>
  <w:p>
    <w:pPr>
      <w:pBdr>
        <w:bottom w:val="single" w:color="1F3864" w:sz="6" w:space="6"/>
      </w:pBdr>
      <w:spacing w:after="200"/>
    </w:pPr>
    <w:r>
      <w:rPr>
        <w:color w:val="666666"/>
        <w:sz w:val="15"/>
        <w:szCs w:val="15"/>
      </w:rPr>
      <w:t xml:space="preserve">22 Bishopsgate, London EC2N 4BQ  |  T +44 (0)20 7946 0100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20" w:hanging="520"/>
      </w:pPr>
    </w:lvl>
    <w:lvl w:ilvl="1" w15:tentative="1">
      <w:start w:val="1"/>
      <w:numFmt w:val="decimal"/>
      <w:lvlText w:val="%1.%2"/>
      <w:lvlJc w:val="left"/>
      <w:pPr>
        <w:ind w:left="900" w:hanging="560"/>
      </w:pPr>
    </w:lvl>
    <w:lvl w:ilvl="2" w15:tentative="1">
      <w:start w:val="1"/>
      <w:numFmt w:val="lowerLetter"/>
      <w:lvlText w:val="(%3)"/>
      <w:lvlJc w:val="left"/>
      <w:pPr>
        <w:ind w:left="1400" w:hanging="500"/>
      </w:pPr>
    </w:lvl>
  </w:abstractNum>
  <w:abstractNum w:abstractNumId="3" w15:restartNumberingAfterBreak="0">
    <w:multiLevelType w:val="hybridMultilevel"/>
    <w:lvl w:ilvl="0" w15:tentative="1">
      <w:start w:val="1"/>
      <w:numFmt w:val="upperLetter"/>
      <w:lvlText w:val="(%1)"/>
      <w:lvlJc w:val="left"/>
      <w:pPr>
        <w:ind w:left="760" w:hanging="520"/>
      </w:pPr>
    </w:lvl>
  </w:abstractNum>
  <w:abstractNum w:abstractNumId="4" w15:restartNumberingAfterBreak="0">
    <w:multiLevelType w:val="hybridMultilevel"/>
    <w:lvl w:ilvl="0" w15:tentative="1">
      <w:start w:val="1"/>
      <w:numFmt w:val="bullet"/>
      <w:lvlText w:val="•"/>
      <w:lvlJc w:val="left"/>
      <w:pPr>
        <w:ind w:left="6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Georgia" w:cs="Georgia" w:eastAsia="Georgia" w:hAnsi="Georgia"/>
      <w:b/>
      <w:bCs/>
      <w:sz w:val="26"/>
      <w:szCs w:val="26"/>
    </w:rPr>
  </w:style>
  <w:style w:type="paragraph" w:styleId="Heading2">
    <w:name w:val="Heading 2"/>
    <w:basedOn w:val="Normal"/>
    <w:next w:val="Normal"/>
    <w:qFormat/>
    <w:pPr>
      <w:spacing w:after="100" w:before="200"/>
      <w:outlineLvl w:val="1"/>
    </w:pPr>
    <w:rPr>
      <w:rFonts w:ascii="Georgia" w:cs="Georgia" w:eastAsia="Georgia" w:hAnsi="Georg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2026-07-01T11:27:49.960Z</dcterms:created>
  <dcterms:modified xsi:type="dcterms:W3CDTF">2026-07-01T11:27:49.960Z</dcterms:modified>
</cp:coreProperties>
</file>

<file path=docProps/custom.xml><?xml version="1.0" encoding="utf-8"?>
<Properties xmlns="http://schemas.openxmlformats.org/officeDocument/2006/custom-properties" xmlns:vt="http://schemas.openxmlformats.org/officeDocument/2006/docPropsVTypes"/>
</file>