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0"/>
      </w:pPr>
      <w:r>
        <w:rPr>
          <w:b/>
          <w:bCs/>
        </w:rPr>
        <w:t xml:space="preserve">PRIVATE &amp; CONFIDENTIAL</w:t>
      </w:r>
      <w:r>
        <w:t xml:space="preserve">	24 March 2026</w:t>
      </w:r>
    </w:p>
    <w:p>
      <w:pPr>
        <w:spacing w:after="120"/>
      </w:pPr>
      <w:r>
        <w:t xml:space="preserve"/>
      </w:r>
    </w:p>
    <w:p>
      <w:pPr>
        <w:spacing w:after="0"/>
      </w:pPr>
      <w:r>
        <w:t xml:space="preserve">Ms Patricia Vaughan</w:t>
      </w:r>
    </w:p>
    <w:p>
      <w:pPr>
        <w:spacing w:after="0"/>
      </w:pPr>
      <w:r>
        <w:t xml:space="preserve">General Counsel &amp; Company Secretary</w:t>
      </w:r>
    </w:p>
    <w:p>
      <w:pPr>
        <w:spacing w:after="0"/>
      </w:pPr>
      <w:r>
        <w:t xml:space="preserve">Calverton Industries Limited</w:t>
      </w:r>
    </w:p>
    <w:p>
      <w:pPr>
        <w:spacing w:after="0"/>
      </w:pPr>
      <w:r>
        <w:t xml:space="preserve">Birmingham Road, Wednesbury, West Midlands WS10 7JB</w:t>
      </w:r>
    </w:p>
    <w:p>
      <w:pPr>
        <w:spacing w:after="120"/>
      </w:pPr>
      <w:r>
        <w:t xml:space="preserve"/>
      </w:r>
    </w:p>
    <w:p>
      <w:r>
        <w:rPr>
          <w:b/>
          <w:bCs/>
        </w:rPr>
        <w:t xml:space="preserve">Re: HSE investigation following the incident of 18 March 2026 at the Wednesbury plant (our reference: WC/CALV/LYRA)</w:t>
      </w:r>
    </w:p>
    <w:p>
      <w:pPr>
        <w:spacing w:after="120"/>
      </w:pPr>
      <w:r>
        <w:t xml:space="preserve"/>
      </w:r>
    </w:p>
    <w:p>
      <w:pPr>
        <w:spacing w:after="120"/>
      </w:pPr>
      <w:r>
        <w:t xml:space="preserve">Dear Patricia,</w:t>
      </w:r>
    </w:p>
    <w:p>
      <w:pPr>
        <w:spacing w:after="120"/>
      </w:pPr>
      <w:r>
        <w:t xml:space="preserve">Thank you for instructing Whitfield Carter LLP in connection with the investigation opened by the Health and Safety Executive (“HSE”) into the incident on 18 March 2026 in which Mr Wayne Tully, a setter/operator, sustained serious hand injuries while working on the CR-TR-12 thread-rolling cell. This letter sets out the terms on which we will act.</w:t>
      </w:r>
    </w:p>
    <w:p>
      <w:pPr>
        <w:pStyle w:val="ListParagraph"/>
        <w:numPr>
          <w:ilvl w:val="0"/>
          <w:numId w:val="2"/>
        </w:numPr>
        <w:spacing w:after="80" w:before="160"/>
      </w:pPr>
      <w:r>
        <w:rPr>
          <w:b w:val="false"/>
          <w:bCs w:val="false"/>
        </w:rPr>
        <w:t xml:space="preserve">Scope of our engagement</w:t>
      </w:r>
    </w:p>
    <w:p>
      <w:pPr>
        <w:spacing w:after="120"/>
      </w:pPr>
      <w:r>
        <w:t xml:space="preserve">We are instructed to advise and represent Calverton Industries Limited (“the Company”) in relation to: (a) the HSE’s investigation under the Health and Safety at Work etc. Act 1974 (“HSWA”) and the Provision and Use of Work Equipment Regulations 1998 (“PUWER”); (b) any improvement or prohibition notice served on the Company; (c) the conduct of interviews under caution under section 20 HSWA and the Police and Criminal Evidence Act 1984; and (d) advising on the Company’s exposure should the HSE decide to bring a prosecution, including likely sentencing outcomes under the Sentencing Council’s Definitive Guideline for Health and Safety Offences.</w:t>
      </w:r>
    </w:p>
    <w:p>
      <w:pPr>
        <w:spacing w:after="120"/>
      </w:pPr>
      <w:r>
        <w:t xml:space="preserve">Our engagement does not extend to any civil personal-injury claim that Mr Tully may bring, which will be handled by the Company’s employers’ liability insurers and their panel solicitors. We will, however, liaise with those advisers so that the criminal and civil workstreams remain consistent.</w:t>
      </w:r>
    </w:p>
    <w:p>
      <w:pPr>
        <w:pStyle w:val="ListParagraph"/>
        <w:numPr>
          <w:ilvl w:val="0"/>
          <w:numId w:val="2"/>
        </w:numPr>
        <w:spacing w:after="80" w:before="160"/>
      </w:pPr>
      <w:r>
        <w:rPr>
          <w:b w:val="false"/>
          <w:bCs w:val="false"/>
        </w:rPr>
        <w:t xml:space="preserve">Your team</w:t>
      </w:r>
    </w:p>
    <w:p>
      <w:pPr>
        <w:spacing w:after="120"/>
      </w:pPr>
      <w:r>
        <w:t xml:space="preserve">The matter will be led by Sarah Whitfield (Partner), supported by Tom Gallagher (Associate) on day-to-day conduct and Elena Marchetti (Associate). Where advocacy or specialist sentencing advice is required we will instruct Harriet Stanford of Eldon Chambers, with whom we have worked on comparable regulatory matters.</w:t>
      </w:r>
    </w:p>
    <w:p>
      <w:pPr>
        <w:pStyle w:val="ListParagraph"/>
        <w:numPr>
          <w:ilvl w:val="0"/>
          <w:numId w:val="2"/>
        </w:numPr>
        <w:spacing w:after="80" w:before="160"/>
      </w:pPr>
      <w:r>
        <w:rPr>
          <w:b w:val="false"/>
          <w:bCs w:val="false"/>
        </w:rPr>
        <w:t xml:space="preserve">Fees and disbursements</w:t>
      </w:r>
    </w:p>
    <w:p>
      <w:pPr>
        <w:spacing w:after="120"/>
      </w:pPr>
      <w:r>
        <w:t xml:space="preserve">Our fees are charged on a time-spent basis at the following hourly rates (exclusive of VAT): Partner £620; Associate £360; Trainee/Paralegal £185. We estimate that work to the conclusion of the HSE’s investigation and any decision on prosecution will fall in the range £45,000 to £75,000 plus VAT and disbursements, but this is an estimate only and will depend on the course the investigation takes. Counsel’s fees are charged as a disbursement.</w:t>
      </w:r>
    </w:p>
    <w:p>
      <w:pPr>
        <w:spacing w:after="120"/>
      </w:pPr>
      <w:r>
        <w:t xml:space="preserve">We will render bills monthly. Payment is due within 30 days. We have requested a payment on account of £15,000 plus VAT, receipt of which we will confirm.</w:t>
      </w:r>
    </w:p>
    <w:p>
      <w:pPr>
        <w:pStyle w:val="ListParagraph"/>
        <w:numPr>
          <w:ilvl w:val="0"/>
          <w:numId w:val="2"/>
        </w:numPr>
        <w:spacing w:after="80" w:before="160"/>
      </w:pPr>
      <w:r>
        <w:rPr>
          <w:b w:val="false"/>
          <w:bCs w:val="false"/>
        </w:rPr>
        <w:t xml:space="preserve">Legal professional privilege and document handling</w:t>
      </w:r>
    </w:p>
    <w:p>
      <w:pPr>
        <w:spacing w:after="120"/>
      </w:pPr>
      <w:r>
        <w:t xml:space="preserve">Communications between the Company and this firm for the dominant purpose of this investigation will attract legal advice privilege, and material created for the dominant purpose of anticipated proceedings will attract litigation privilege. To preserve privilege, internal investigation materials should be created at our direction and routed through this firm. We will advise separately on the handling of the Company’s own internal investigation report.</w:t>
      </w:r>
    </w:p>
    <w:p>
      <w:pPr>
        <w:spacing w:after="120"/>
      </w:pPr>
      <w:r>
        <w:t xml:space="preserve">You should preserve all documents and electronic data relevant to the incident and the CR-TR-12 cell, including maintenance records, risk assessments, training records, CCTV and machine-control logs. Please ensure the Company’s ordinary document-destruction policies are suspended in respect of relevant material.</w:t>
      </w:r>
    </w:p>
    <w:p>
      <w:pPr>
        <w:pStyle w:val="ListParagraph"/>
        <w:numPr>
          <w:ilvl w:val="0"/>
          <w:numId w:val="2"/>
        </w:numPr>
        <w:spacing w:after="80" w:before="160"/>
      </w:pPr>
      <w:r>
        <w:rPr>
          <w:b w:val="false"/>
          <w:bCs w:val="false"/>
        </w:rPr>
        <w:t xml:space="preserve">Regulatory and complaints information</w:t>
      </w:r>
    </w:p>
    <w:p>
      <w:pPr>
        <w:spacing w:after="120"/>
      </w:pPr>
      <w:r>
        <w:t xml:space="preserve">Whitfield Carter LLP is authorised and regulated by the Solicitors Regulation Authority. If at any point you are unhappy with our service you may raise the matter with the supervising partner and, ultimately, the Legal Ombudsman.</w:t>
      </w:r>
    </w:p>
    <w:p>
      <w:pPr>
        <w:spacing w:after="120"/>
      </w:pPr>
      <w:r>
        <w:t xml:space="preserve">Please countersign the enclosed copy of this letter to confirm your acceptance of these terms. In the meantime, we have already begun work given the time-sensitivity of the HSE’s requests.</w:t>
      </w:r>
    </w:p>
    <w:p>
      <w:pPr>
        <w:spacing w:after="120"/>
      </w:pPr>
      <w:r>
        <w:t xml:space="preserve"/>
      </w:r>
    </w:p>
    <w:p>
      <w:pPr>
        <w:spacing w:after="120"/>
      </w:pPr>
      <w:r>
        <w:t xml:space="preserve">Yours faithfully,</w:t>
      </w:r>
    </w:p>
    <w:p>
      <w:pPr>
        <w:spacing w:after="120"/>
      </w:pPr>
      <w:r>
        <w:t xml:space="preserve"/>
      </w:r>
    </w:p>
    <w:p>
      <w:pPr>
        <w:spacing w:after="120"/>
      </w:pPr>
      <w:r>
        <w:t xml:space="preserve"/>
      </w:r>
    </w:p>
    <w:p>
      <w:pPr>
        <w:spacing w:after="0"/>
      </w:pPr>
      <w:r>
        <w:rPr>
          <w:b/>
          <w:bCs/>
        </w:rPr>
        <w:t xml:space="preserve">Sarah Whitfield</w:t>
      </w:r>
    </w:p>
    <w:p>
      <w:pPr>
        <w:spacing w:after="0"/>
      </w:pPr>
      <w:r>
        <w:t xml:space="preserve">Partner</w:t>
      </w:r>
    </w:p>
    <w:p>
      <w:pPr>
        <w:spacing w:after="0"/>
      </w:pPr>
      <w: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Whitfield Carter LLP  |  Strictly private and confidential</w:t>
    </w:r>
    <w:r>
      <w:rPr>
        <w:color w:val="888888"/>
        <w:sz w:val="14"/>
        <w:szCs w:val="14"/>
      </w:rPr>
      <w:t xml:space="preserve">	Page </w:t>
    </w:r>
    <w:r>
      <w:rPr>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2"/>
        <w:szCs w:val="22"/>
      </w:rPr>
      <w:t xml:space="preserve">Whitfield Carter LLP</w:t>
    </w:r>
  </w:p>
  <w:p>
    <w:pPr>
      <w:spacing w:after="60"/>
      <w:jc w:val="right"/>
    </w:pPr>
    <w:r>
      <w:rPr>
        <w:color w:val="555555"/>
        <w:sz w:val="16"/>
        <w:szCs w:val="16"/>
      </w:rPr>
      <w:t xml:space="preserve">22 Bishopsgate, London EC2N 4BQ</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0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2026-06-29T15:34:08.041Z</dcterms:created>
  <dcterms:modified xsi:type="dcterms:W3CDTF">2026-06-29T15:34:08.041Z</dcterms:modified>
</cp:coreProperties>
</file>

<file path=docProps/custom.xml><?xml version="1.0" encoding="utf-8"?>
<Properties xmlns="http://schemas.openxmlformats.org/officeDocument/2006/custom-properties" xmlns:vt="http://schemas.openxmlformats.org/officeDocument/2006/docPropsVTypes"/>
</file>