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b/>
          <w:bCs/>
        </w:rPr>
        <w:t xml:space="preserve">LEGALLY PRIVILEGED AND CONFIDENTIAL</w:t>
      </w:r>
    </w:p>
    <w:p>
      <w:pPr>
        <w:jc w:val="center"/>
      </w:pPr>
      <w:r>
        <w:t xml:space="preserve">Prepared at the direction of Whitfield Carter LLP for the dominant purpose of anticipated proceedings</w:t>
      </w:r>
    </w:p>
    <w:p>
      <w:pPr>
        <w:pStyle w:val="Heading1"/>
      </w:pPr>
      <w:r>
        <w:t xml:space="preserve">Internal Investigation Report — Incident of 18 March 2026</w:t>
      </w:r>
    </w:p>
    <w:p>
      <w:pPr>
        <w:spacing w:after="120"/>
      </w:pPr>
      <w:r>
        <w:t xml:space="preserve">Project Lyra — Calverton Industries Limited, Wednesbury plant. HSE reference WM/SAN/2026/0488.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20"/>
                <w:szCs w:val="20"/>
              </w:rPr>
              <w:t xml:space="preserve">Field</w:t>
            </w:r>
          </w:p>
        </w:tc>
        <w:tc>
          <w:tcPr>
            <w:tcW w:type="dxa" w:w="67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20"/>
                <w:szCs w:val="20"/>
              </w:rPr>
              <w:t xml:space="preserve">Detail</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Date and time of incident</w:t>
            </w:r>
          </w:p>
        </w:tc>
        <w:tc>
          <w:tcPr>
            <w:tcW w:type="dxa" w:w="6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18 March 2026, approximately 14:20</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Location</w:t>
            </w:r>
          </w:p>
        </w:tc>
        <w:tc>
          <w:tcPr>
            <w:tcW w:type="dxa" w:w="6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Bay 4, thread-rolling cell CR-TR-12 (“Excelon” EX-450 thread roller)</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Injured person</w:t>
            </w:r>
          </w:p>
        </w:tc>
        <w:tc>
          <w:tcPr>
            <w:tcW w:type="dxa" w:w="6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Wayne Tully, setter/operator (8 years’ service)</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Injury</w:t>
            </w:r>
          </w:p>
        </w:tc>
        <w:tc>
          <w:tcPr>
            <w:tcW w:type="dxa" w:w="6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Crush and degloving injury to right hand; partial amputation of three fingers</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RIDDOR status</w:t>
            </w:r>
          </w:p>
        </w:tc>
        <w:tc>
          <w:tcPr>
            <w:tcW w:type="dxa" w:w="6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Reported 18 March 2026 (specified injury); HSE attended 19 March 2026</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Equipment status</w:t>
            </w:r>
          </w:p>
        </w:tc>
        <w:tc>
          <w:tcPr>
            <w:tcW w:type="dxa" w:w="6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Cell isolated and locked off; line out of service pending investigation</w:t>
            </w:r>
          </w:p>
        </w:tc>
      </w:tr>
    </w:tbl>
    <w:p>
      <w:pPr>
        <w:pStyle w:val="Heading2"/>
      </w:pPr>
      <w:r>
        <w:t xml:space="preserve">1. Summary of findings</w:t>
      </w:r>
    </w:p>
    <w:p>
      <w:pPr>
        <w:spacing w:after="120"/>
      </w:pPr>
      <w:r>
        <w:t xml:space="preserve">The investigation has found that the fixed perimeter guard interlock on the CR-TR-12 cell had been bypassed using a spare actuator key, allowing the guard door to be opened while the rolling dies continued to run. Mr Tully reached into the die area to clear a partially formed component (a “mis-roll”) while the machine was energised. His glove was drawn into the dies, pulling his hand into the nip point.</w:t>
      </w:r>
    </w:p>
    <w:p>
      <w:pPr>
        <w:spacing w:after="120"/>
      </w:pPr>
      <w:r>
        <w:t xml:space="preserve">The interlock defeat was not authorised and was contrary to the Company’s safe system of work, but the investigation also found systemic weaknesses: the practice of clearing mis-rolls without full isolation was informally tolerated to maintain throughput; the spare interlock key was not controlled; and the most recent PUWER suitability assessment for the cell (dated 2023) did not address the foreseeable defeat of the interlock.</w:t>
      </w:r>
    </w:p>
    <w:p>
      <w:pPr>
        <w:pStyle w:val="Heading2"/>
      </w:pPr>
      <w:r>
        <w:t xml:space="preserve">2. Sequence of events</w:t>
      </w:r>
    </w:p>
    <w:p>
      <w:pPr>
        <w:spacing w:after="120"/>
      </w:pPr>
      <w:r>
        <w:t xml:space="preserve">At about 14:05 the cell produced a run of mis-rolled M16 studs, an intermittent fault that operators had learned to clear by opening the guard and freeing the workpiece by hand. At 14:20 Mr Tully opened the guard door (the interlock having been defeated earlier in the shift, on his own later account, “because it kept tripping”) and reached toward the dies. The dies were still rotating. His right glove contacted a die and his hand was drawn in. A colleague hit the emergency stop within two to three seconds. Emergency services were called and Mr Tully was taken to Sandwell General Hospital.</w:t>
      </w:r>
    </w:p>
    <w:p>
      <w:pPr>
        <w:pStyle w:val="Heading2"/>
      </w:pPr>
      <w:r>
        <w:t xml:space="preserve">3. Root-cause analysis</w:t>
      </w:r>
    </w:p>
    <w:p>
      <w:pPr>
        <w:spacing w:after="120"/>
      </w:pPr>
      <w:r>
        <w:t xml:space="preserve">Immediate cause: contact with the rotating dies through a guard that had been opened with the interlock defeated.</w:t>
      </w:r>
    </w:p>
    <w:p>
      <w:pPr>
        <w:spacing w:after="120"/>
      </w:pPr>
      <w:r>
        <w:t xml:space="preserve">Underlying causes: (a) an informal, throughput-driven practice of clearing mis-rolls without isolation; (b) inadequate control of the interlock actuator keys; (c) a PUWER assessment that pre-dated the current production rate and did not consider interlock defeat; (d) supervision that did not challenge the defeat of guards; and (e) refresher training on isolation and lock-off that had lapsed for several operators on Bay 4, including Mr Tully, whose last recorded refresher was in 2023.</w:t>
      </w:r>
    </w:p>
    <w:p>
      <w:pPr>
        <w:pStyle w:val="Heading2"/>
      </w:pPr>
      <w:r>
        <w:t xml:space="preserve">4. Document and evidence review</w:t>
      </w:r>
    </w:p>
    <w:p>
      <w:pPr>
        <w:spacing w:after="120"/>
      </w:pPr>
      <w:r>
        <w:t xml:space="preserve">The investigation reviewed the machine’s maintenance log, the 2023 PUWER assessment, the Bay 4 risk assessment, training records, the shift handover sheets for 17–18 March, the machine-control PLC fault log and the CCTV covering Bay 4. The PLC log confirms the guard interlock circuit was in a bypassed state from 09:48 on 18 March. The CCTV is consistent with the account above.</w:t>
      </w:r>
    </w:p>
    <w:p>
      <w:pPr>
        <w:pStyle w:val="Heading2"/>
      </w:pPr>
      <w:r>
        <w:t xml:space="preserve">5. Immediate remedial action taken</w:t>
      </w:r>
    </w:p>
    <w:p>
      <w:pPr>
        <w:spacing w:after="120"/>
      </w:pPr>
      <w:r>
        <w:t xml:space="preserve">The CR-TR-12 cell and the three other Excelon cells of the same generation have been taken out of service. All spare interlock actuator keys across the plant have been recovered and placed under controlled issue. A toolbox talk on guard integrity and isolation was delivered to all production staff on 20 March. A fuller remediation plan is being prepared (see the Remediation and Improvement Plan).</w:t>
      </w:r>
    </w:p>
    <w:p>
      <w:pPr>
        <w:pStyle w:val="Heading2"/>
      </w:pPr>
      <w:r>
        <w:t xml:space="preserve">6. Preliminary assessment of regulatory exposure</w:t>
      </w:r>
    </w:p>
    <w:p>
      <w:pPr>
        <w:spacing w:after="120"/>
      </w:pPr>
      <w:r>
        <w:t xml:space="preserve">On the facts found, the Company is likely to face criticism that its safe system of work, while documented, was not effectively enforced, and that the foreseeable defeat of the interlock was not adequately guarded against. This is addressed in the separate Sentencing Exposure advice note. Nothing in this report should be treated as an admission; it is prepared for the Company’s advisers.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888888"/>
        <w:sz w:val="14"/>
        <w:szCs w:val="14"/>
      </w:rPr>
      <w:t xml:space="preserve">Whitfield Carter LLP  |  Strictly private and confidential</w:t>
    </w:r>
    <w:r>
      <w:rPr>
        <w:color w:val="888888"/>
        <w:sz w:val="14"/>
        <w:szCs w:val="14"/>
      </w:rPr>
      <w:t xml:space="preserve">	Page </w:t>
    </w:r>
    <w:r>
      <w:rPr>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b/>
        <w:bCs/>
        <w:sz w:val="22"/>
        <w:szCs w:val="22"/>
      </w:rPr>
      <w:t xml:space="preserve">Whitfield Carter LLP</w:t>
    </w:r>
  </w:p>
  <w:p>
    <w:pPr>
      <w:spacing w:after="60"/>
      <w:jc w:val="right"/>
    </w:pPr>
    <w:r>
      <w:rPr>
        <w:color w:val="555555"/>
        <w:sz w:val="16"/>
        <w:szCs w:val="16"/>
      </w:rPr>
      <w:t xml:space="preserve">22 Bishopsgate, London EC2N 4BQ</w:t>
    </w:r>
  </w:p>
  <w:p>
    <w:pPr>
      <w:pBdr>
        <w:bottom w:val="single" w:color="1F3864"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0" w:hanging="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4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sz w:val="28"/>
      <w:szCs w:val="28"/>
    </w:rPr>
  </w:style>
  <w:style w:type="paragraph" w:styleId="Heading2">
    <w:name w:val="Heading 2"/>
    <w:basedOn w:val="Normal"/>
    <w:next w:val="Normal"/>
    <w:qFormat/>
    <w:pPr>
      <w:spacing w:after="100" w:before="180"/>
      <w:outlineLvl w:val="1"/>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2026-06-29T15:34:08.091Z</dcterms:created>
  <dcterms:modified xsi:type="dcterms:W3CDTF">2026-06-29T15:34:08.091Z</dcterms:modified>
</cp:coreProperties>
</file>

<file path=docProps/custom.xml><?xml version="1.0" encoding="utf-8"?>
<Properties xmlns="http://schemas.openxmlformats.org/officeDocument/2006/custom-properties" xmlns:vt="http://schemas.openxmlformats.org/officeDocument/2006/docPropsVTypes"/>
</file>