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</w:rPr>
        <w:t xml:space="preserve">LEGALLY PRIVILEGED AND CONFIDENTIAL — ADVICE</w:t>
      </w:r>
    </w:p>
    <w:p>
      <w:pPr>
        <w:pStyle w:val="Heading1"/>
      </w:pPr>
      <w:r>
        <w:t xml:space="preserve">Advice Note — Sentencing Exposure</w:t>
      </w:r>
    </w:p>
    <w:p>
      <w:pPr>
        <w:spacing w:after="120"/>
      </w:pPr>
      <w:r>
        <w:t xml:space="preserve">To: Patricia Vaughan, General Counsel, Calverton Industries Limited</w:t>
      </w:r>
    </w:p>
    <w:p>
      <w:pPr>
        <w:spacing w:after="120"/>
      </w:pPr>
      <w:r>
        <w:t xml:space="preserve">From: Sarah Whitfield / Tom Gallagher, Whitfield Carter LLP</w:t>
      </w:r>
    </w:p>
    <w:p>
      <w:pPr>
        <w:spacing w:after="120"/>
      </w:pPr>
      <w:r>
        <w:t xml:space="preserve">Date: 28 April 2026.  Matter: Project Lyra (HSE ref WM/SAN/2026/0488)</w:t>
      </w: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This note assesses the Company’s likely exposure on sentence if the HSE decides to prosecute and the Company pleads guilty to an offence under sections 2 and/or 3 of the Health and Safety at Work etc. Act 1974, applying the Sentencing Council’s Definitive Guideline for Health and Safety Offences.</w:t>
      </w:r>
    </w:p>
    <w:p>
      <w:pPr>
        <w:pStyle w:val="Heading2"/>
      </w:pPr>
      <w:r>
        <w:t xml:space="preserve">2. Step one — culpability</w:t>
      </w:r>
    </w:p>
    <w:p>
      <w:pPr>
        <w:spacing w:after="120"/>
      </w:pPr>
      <w:r>
        <w:t xml:space="preserve">We assess culpability as Medium. The Company had a recognised, documented safe system of work requiring isolation before clearing mis-rolls, which points away from High culpability. However, the system was not effectively enforced; the practice of clearing mis-rolls live was tolerated; interlock keys were not controlled; and the PUWER assessment was out of date. These failings fall short of the systemic, flagrant disregard that would justify a High categorisation, but are more than a minor departure. Medium is the realistic categorisation, and we would resist any push by the HSE toward High.</w:t>
      </w:r>
    </w:p>
    <w:p>
      <w:pPr>
        <w:pStyle w:val="Heading2"/>
      </w:pPr>
      <w:r>
        <w:t xml:space="preserve">3. Step one — harm</w:t>
      </w:r>
    </w:p>
    <w:p>
      <w:pPr>
        <w:spacing w:after="120"/>
      </w:pPr>
      <w:r>
        <w:t xml:space="preserve">Seriousness of harm risked is Level A (death or physical/mental impairment resulting in lifelong dependency, or reduction in life expectancy — here the realistic risk from a rotating-die nip point is serious life-changing injury). Likelihood of harm is Medium. That produces Harm category 2. The actual outcome (partial amputation of three fingers) is a seriously disabling injury, which supports remaining within category 2 and may be relied on by the HSE to resist any move down to category 3.</w:t>
      </w:r>
    </w:p>
    <w:p>
      <w:pPr>
        <w:pStyle w:val="Heading2"/>
      </w:pPr>
      <w:r>
        <w:t xml:space="preserve">4. Step two — starting point and category range</w:t>
      </w:r>
    </w:p>
    <w:p>
      <w:pPr>
        <w:spacing w:after="120"/>
      </w:pPr>
      <w:r>
        <w:t xml:space="preserve">The Company’s turnover for the year ended 31 December 2025 was approximately £62 million, placing it in the “large” organisation band (turnover £50m and over). For a large organisation, Medium culpability and Harm category 2, the guideline starting point is £600,000 with a category range of £300,000 to £1,500,000.</w:t>
      </w:r>
    </w:p>
    <w:p>
      <w:pPr>
        <w:pStyle w:val="Heading2"/>
      </w:pPr>
      <w:r>
        <w:t xml:space="preserve">5. Step two — aggravating and mitigating factors</w:t>
      </w:r>
    </w:p>
    <w:p>
      <w:pPr>
        <w:spacing w:after="120"/>
      </w:pPr>
      <w:r>
        <w:t xml:space="preserve">Aggravating: the actual injury was serious; there was a degree of cost-saving/throughput motivation in tolerating the live-clearing practice. Mitigating: no relevant previous convictions or enforcement history; prompt and full cooperation; prompt remediation including taking the cells out of service and retrofitting interlocks; a genuine acceptance of responsibility; and steps to improve the wider guarding regime. On balance we consider the aggravating and mitigating factors broadly offset one another, with mitigation slightly the stronger, justifying a modest downward movement from the starting point to a figure of the order of £450,000 before plea credit.</w:t>
      </w:r>
    </w:p>
    <w:p>
      <w:pPr>
        <w:pStyle w:val="Heading2"/>
      </w:pPr>
      <w:r>
        <w:t xml:space="preserve">6. Step three onwards — plea credit and totality</w:t>
      </w:r>
    </w:p>
    <w:p>
      <w:pPr>
        <w:spacing w:after="120"/>
      </w:pPr>
      <w:r>
        <w:t xml:space="preserve">If the Company indicates a guilty plea at the first reasonable opportunity it should receive one-third credit, reducing a £450,000 figure to an indicative £300,000. The court will then check the fine against the means of the organisation and the need for the fine to be proportionate; we do not consider an uplift for means is likely given the figure already sits within the range for a large organisation. The Company should also expect to pay the HSE’s costs (Fee for Intervention and investigation costs), currently estimated at £24,600, and the statutory victim surcharge.</w:t>
      </w:r>
    </w:p>
    <w:p>
      <w:pPr>
        <w:pStyle w:val="Heading2"/>
      </w:pPr>
      <w:r>
        <w:t xml:space="preserve">7. Conclusion and recommendation</w:t>
      </w:r>
    </w:p>
    <w:p>
      <w:pPr>
        <w:spacing w:after="120"/>
      </w:pPr>
      <w:r>
        <w:t xml:space="preserve">Our central estimate of the Company’s exposure on a guilty plea is a fine of the order of £300,000, with a realistic range of £250,000 to £400,000 depending on how culpability and harm are ultimately categorised, plus costs of approximately £24,600. We recommend (a) maintaining full cooperation; (b) completing the remediation on the timetable in the Remediation and Improvement Plan and evidencing it; and (c) being prepared to indicate a guilty plea early if the HSE charges, to secure full credit. We will refine this assessment once the HSE’s position on culpability and harm is clearer.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Whitfield Carter LLP  |  Strictly private and confidential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sz w:val="22"/>
        <w:szCs w:val="22"/>
      </w:rPr>
      <w:t xml:space="preserve">Whitfield Carter LLP</w:t>
    </w:r>
  </w:p>
  <w:p>
    <w:pPr>
      <w:spacing w:after="60"/>
      <w:jc w:val="right"/>
    </w:pPr>
    <w:r>
      <w:rPr>
        <w:color w:val="555555"/>
        <w:sz w:val="16"/>
        <w:szCs w:val="16"/>
      </w:rPr>
      <w:t xml:space="preserve">22 Bishopsgate, London EC2N 4BQ</w:t>
    </w:r>
  </w:p>
  <w:p>
    <w:pPr>
      <w:pBdr>
        <w:bottom w:val="single" w:color="1F3864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2026-06-29T15:34:08.122Z</dcterms:created>
  <dcterms:modified xsi:type="dcterms:W3CDTF">2026-06-29T15:34:08.122Z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