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rPr>
          <w:b/>
          <w:bCs/>
          <w:color w:val="C00000"/>
        </w:rPr>
      </w:pPr>
      <w:r>
        <w:rPr>
          <w:b/>
          <w:bCs/>
          <w:color w:val="C00000"/>
        </w:rPr>
        <w:t xml:space="preserve">PRIVILEGED &amp; CONFIDENTIAL — PREPARED FOR THE BOARD</w:t>
      </w:r>
    </w:p>
    <w:p>
      <w:pPr>
        <w:pStyle w:val="Heading1"/>
      </w:pPr>
      <w:r>
        <w:t xml:space="preserve">Advice Note: Position under the Existing Facilities Agreement and standstill strategy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To: The Board of Calverton Industries Limited</w:t>
      </w:r>
    </w:p>
    <w:p>
      <w:pPr>
        <w:spacing w:after="120"/>
      </w:pPr>
      <w:r>
        <w:t xml:space="preserve">From: Sarah Whitfield / James Osei, Whitfield Carter LLP</w:t>
      </w:r>
    </w:p>
    <w:p>
      <w:pPr>
        <w:spacing w:after="120"/>
      </w:pPr>
      <w:r>
        <w:t xml:space="preserve">Date: 18 February 2026</w:t>
      </w:r>
    </w:p>
    <w:p>
      <w:pPr>
        <w:spacing w:after="120"/>
      </w:pPr>
      <w:r>
        <w:t xml:space="preserve">Matter: WC-00150 (Project Willow)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t xml:space="preserve">The Company is in breach of the leverage and debt service cover covenants under the Existing Facilities Agreement for the quarter ended 31 December 2025. Leverage was 4.20x against a covenant ceiling of 3.50x, and the debt service cover ratio (DSCR) was 1.05x against a floor of 1.20x. These are Events of Default under clause 24.2. The Bank has reserved its rights but has not accelerated. We recommend securing a documented standstill before the next interest payment date (31 March 2026), in parallel with negotiating a consensual amendment and restatement supported by a shareholder equity injection.</w:t>
      </w:r>
    </w:p>
    <w:p>
      <w:pPr>
        <w:pStyle w:val="Heading2"/>
      </w:pPr>
      <w:r>
        <w:t xml:space="preserve">2. The Bank’s contractual rights</w:t>
      </w:r>
    </w:p>
    <w:p>
      <w:pPr>
        <w:spacing w:after="120"/>
      </w:pPr>
      <w:r>
        <w:t xml:space="preserve">On an Event of Default which is continuing, the Bank may under clause 25.1: (a) cancel the available commitments; (b) declare all outstanding loans immediately due and payable; and (c) enforce the Security, which comprises a debenture (fixed and floating charge) dated 9 March 2023 and a charge over the Wolverhampton freehold. The total amount outstanding is £32.0m (Revolving Facility £18.0m drawn and Term Loan A £14.0m), so acceleration would be value-destructive for all stakeholders, including the Bank, which supports a consensual outcome.</w:t>
      </w:r>
    </w:p>
    <w:p>
      <w:pPr>
        <w:pStyle w:val="Heading2"/>
      </w:pPr>
      <w:r>
        <w:t xml:space="preserve">3. Standstill recommendation</w:t>
      </w:r>
    </w:p>
    <w:p>
      <w:pPr>
        <w:spacing w:after="120"/>
      </w:pPr>
      <w:r>
        <w:t xml:space="preserve">We recommend a short-form standstill / forbearance agreement under which the Bank agrees not to exercise its acceleration or enforcement rights in respect of the identified breaches for a defined standstill period (we propose to 31 May 2026), in exchange for: enhanced information undertakings (13-week cash flow reporting), an independent business review by Marlow Tax &amp; Advisory Ltd, a standstill fee, and the Company’s commitment to deliver a consensual restructuring proposal. The standstill must be carefully drafted so that it does not waive the underlying Events of Default but suspends the Bank’s remedies.</w:t>
      </w:r>
    </w:p>
    <w:p>
      <w:pPr>
        <w:pStyle w:val="Heading2"/>
      </w:pPr>
      <w:r>
        <w:t xml:space="preserve">4. Directors’ duties</w:t>
      </w:r>
    </w:p>
    <w:p>
      <w:pPr>
        <w:spacing w:after="120"/>
      </w:pPr>
      <w:r>
        <w:t xml:space="preserve">While the Company is solvent and trading, the directors’ primary duty remains to promote the success of the Company for the benefit of its members as a whole (section 172 Companies Act 2006). Given the financial stress, directors should have regard to the interests of creditors and minute their decision-making carefully. We can provide a separate note on the shift in directors’ duties in the zone of insolvency if helpful.</w:t>
      </w:r>
    </w:p>
    <w:p>
      <w:pPr>
        <w:pStyle w:val="Heading2"/>
      </w:pPr>
      <w:r>
        <w:t xml:space="preserve">5.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Agree heads of terms for the standstill with the Bank (target: 20 February 2026).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Engage Marlow Tax &amp; Advisory to commence the independent business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shareholder discussions on the proposed £4.0m equity injection.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the amendment and restatement of the Existing Facilities Agreement for execution before the standstill expires.</w:t>
      </w:r>
    </w:p>
    <w:p>
      <w:pPr>
        <w:spacing w:after="120"/>
      </w:pPr>
      <w:r>
        <w:t xml:space="preserve">Please treat this note as privileged and confidential and do not circulate it outside the Board without our agreement.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77777"/>
        <w:sz w:val="14"/>
        <w:szCs w:val="14"/>
      </w:rPr>
      <w:t xml:space="preserve">WC-00150 Project Willow   Confidential and may be legally privileged.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2026-06-26T22:18:31.396Z</dcterms:created>
  <dcterms:modified xsi:type="dcterms:W3CDTF">2026-06-26T22:18:31.396Z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