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Private &amp; Confidential</w:t>
      </w:r>
    </w:p>
    <w:p>
      <w:pPr>
        <w:spacing w:after="120"/>
      </w:pPr>
      <w:r>
        <w:t xml:space="preserve">Ms Patricia Vaughan</w:t>
      </w:r>
    </w:p>
    <w:p>
      <w:pPr>
        <w:spacing w:after="120"/>
      </w:pPr>
      <w:r>
        <w:t xml:space="preserve">General Counsel &amp; Company Secretary</w:t>
      </w:r>
    </w:p>
    <w:p>
      <w:pPr>
        <w:spacing w:after="120"/>
      </w:pPr>
      <w:r>
        <w:t xml:space="preserve">Calverton Industries Limited</w:t>
      </w:r>
    </w:p>
    <w:p>
      <w:pPr>
        <w:spacing w:after="120"/>
      </w:pPr>
      <w:r>
        <w:t xml:space="preserve">Calverton House, Foundry Road, Wolverhampton WV2 4JX</w:t>
      </w:r>
    </w:p>
    <w:p>
      <w:pPr>
        <w:spacing w:after="120"/>
      </w:pPr>
      <w:r>
        <w:t xml:space="preserve"/>
      </w:r>
    </w:p>
    <w:p>
      <w:pPr>
        <w:spacing w:after="120"/>
      </w:pPr>
      <w:r>
        <w:t xml:space="preserve">12 February 2026</w:t>
      </w:r>
    </w:p>
    <w:p>
      <w:pPr>
        <w:spacing w:after="120"/>
        <w:rPr>
          <w:color w:val="555555"/>
        </w:rPr>
      </w:pPr>
      <w:r>
        <w:rPr>
          <w:color w:val="555555"/>
        </w:rPr>
        <w:t xml:space="preserve">Our ref: WC-00150 / SW / Project Willow</w:t>
      </w:r>
    </w:p>
    <w:p>
      <w:pPr>
        <w:spacing w:after="120"/>
      </w:pPr>
      <w:r>
        <w:t xml:space="preserve"/>
      </w:r>
    </w:p>
    <w:p>
      <w:pPr>
        <w:spacing w:after="120"/>
      </w:pPr>
      <w:r>
        <w:t xml:space="preserve">Dear Patricia</w:t>
      </w:r>
    </w:p>
    <w:p>
      <w:pPr>
        <w:spacing w:after="120"/>
        <w:rPr>
          <w:b/>
          <w:bCs/>
        </w:rPr>
      </w:pPr>
      <w:r>
        <w:rPr>
          <w:b/>
          <w:bCs/>
        </w:rPr>
        <w:t xml:space="preserve">Project Willow — restructuring of the Pennine Business Bank facilities</w:t>
      </w:r>
    </w:p>
    <w:p>
      <w:pPr>
        <w:spacing w:after="120"/>
      </w:pPr>
      <w:r>
        <w:t xml:space="preserve">Thank you for instructing Whitfield Carter LLP in connection with the proposed amendment and refinancing of the Company’s senior banking facilities with Pennine Business Bank plc (the “Bank”). This letter, together with our enclosed standard terms of business, sets out the basis on which we will act.</w:t>
      </w:r>
    </w:p>
    <w:p>
      <w:pPr>
        <w:pStyle w:val="Heading2"/>
      </w:pPr>
      <w:r>
        <w:t xml:space="preserve">1. Scope of work</w:t>
      </w:r>
    </w:p>
    <w:p>
      <w:pPr>
        <w:spacing w:after="120"/>
      </w:pPr>
      <w:r>
        <w:t xml:space="preserve">We understand that the Company is in breach of the financial covenants under its existing facilities agreement dated 9 March 2023 (the “Existing Facilities Agreement”) in respect of the quarter ended 31 December 2025, and that the Bank has reserved its rights. Our instructions are to advise on and assist with:</w:t>
      </w:r>
    </w:p>
    <w:p>
      <w:pPr>
        <w:pStyle w:val="ListParagraph"/>
        <w:numPr>
          <w:ilvl w:val="0"/>
          <w:numId w:val="2"/>
        </w:numPr>
        <w:spacing w:after="80"/>
      </w:pPr>
      <w:r>
        <w:t xml:space="preserve">negotiation and documentation of a short-term standstill / forbearance arrangement with the Bank to provide stability while a consensual solution is agreed;</w:t>
      </w:r>
    </w:p>
    <w:p>
      <w:pPr>
        <w:pStyle w:val="ListParagraph"/>
        <w:numPr>
          <w:ilvl w:val="0"/>
          <w:numId w:val="2"/>
        </w:numPr>
        <w:spacing w:after="80"/>
      </w:pPr>
      <w:r>
        <w:t xml:space="preserve">review of the Existing Facilities Agreement and associated security, and advice on the Bank’s rights and the Company’s exposure on an event of default;</w:t>
      </w:r>
    </w:p>
    <w:p>
      <w:pPr>
        <w:pStyle w:val="ListParagraph"/>
        <w:numPr>
          <w:ilvl w:val="0"/>
          <w:numId w:val="2"/>
        </w:numPr>
        <w:spacing w:after="80"/>
      </w:pPr>
      <w:r>
        <w:t xml:space="preserve">negotiation and documentation of a full amendment and restatement of the facilities, including a covenant reset, revised margin, a new working-capital facility and equity-cure mechanics;</w:t>
      </w:r>
    </w:p>
    <w:p>
      <w:pPr>
        <w:pStyle w:val="ListParagraph"/>
        <w:numPr>
          <w:ilvl w:val="0"/>
          <w:numId w:val="2"/>
        </w:numPr>
        <w:spacing w:after="80"/>
      </w:pPr>
      <w:r>
        <w:t xml:space="preserve">liaison with Marlow Tax &amp; Advisory Ltd as independent business reviewer, and with the Company’s shareholders in relation to the proposed new equity injection; and</w:t>
      </w:r>
    </w:p>
    <w:p>
      <w:pPr>
        <w:pStyle w:val="ListParagraph"/>
        <w:numPr>
          <w:ilvl w:val="0"/>
          <w:numId w:val="2"/>
        </w:numPr>
        <w:spacing w:after="80"/>
      </w:pPr>
      <w:r>
        <w:t xml:space="preserve">conditions precedent management and completion of the amendment and restatement.</w:t>
      </w:r>
    </w:p>
    <w:p>
      <w:pPr>
        <w:pStyle w:val="Heading2"/>
      </w:pPr>
      <w:r>
        <w:t xml:space="preserve">2. The team</w:t>
      </w:r>
    </w:p>
    <w:p>
      <w:pPr>
        <w:spacing w:after="120"/>
      </w:pPr>
      <w:r>
        <w:t xml:space="preserve">The matter will be led by Sarah Whitfield (Partner). James Osei (Senior Associate) will have day-to-day conduct, supported by Elena Marchetti (Associate). The Bank is represented by Pendle Voss LLP (Dominic Pendle, Partner).</w:t>
      </w:r>
    </w:p>
    <w:p>
      <w:pPr>
        <w:pStyle w:val="Heading2"/>
      </w:pPr>
      <w:r>
        <w:t xml:space="preserve">3. Fees</w:t>
      </w:r>
    </w:p>
    <w:p>
      <w:pPr>
        <w:spacing w:after="120"/>
      </w:pPr>
      <w:r>
        <w:t xml:space="preserve">Our fees are charged on a time-spent basis at the following hourly rates (exclusive of VAT): Partner £685; Senior Associate £465; Associate £325. We estimate fees for phase 1 (standstill) of £35,000–£45,000 plus VAT, and for phase 2 (amendment and restatement) of £90,000–£120,000 plus VAT, in each case excluding disbursements and the Bank’s costs, for which the Company is liable under the facilities documentation.</w:t>
      </w:r>
    </w:p>
    <w:p>
      <w:pPr>
        <w:pStyle w:val="Heading2"/>
      </w:pPr>
      <w:r>
        <w:t xml:space="preserve">4. Conflicts and confidentiality</w:t>
      </w:r>
    </w:p>
    <w:p>
      <w:pPr>
        <w:spacing w:after="120"/>
      </w:pPr>
      <w:r>
        <w:t xml:space="preserve">We have carried out a conflicts check and are not aware of any conflict that would prevent us from acting. This matter is confidential and subject to legal professional privilege. Please mark all correspondence “Project Willow” and avoid using the Company’s name in subject lines where possible.</w:t>
      </w:r>
    </w:p>
    <w:p>
      <w:pPr>
        <w:spacing w:after="120"/>
      </w:pPr>
      <w:r>
        <w:t xml:space="preserve">Please confirm your acceptance of these terms by countersigning the enclosed copy. We look forward to working with you on this matter.</w:t>
      </w:r>
    </w:p>
    <w:p>
      <w:pPr>
        <w:spacing w:after="120"/>
      </w:pPr>
      <w:r>
        <w:t xml:space="preserve"/>
      </w:r>
    </w:p>
    <w:p>
      <w:pPr>
        <w:spacing w:after="120"/>
      </w:pPr>
      <w:r>
        <w:t xml:space="preserve">Yours sincerely</w:t>
      </w:r>
    </w:p>
    <w:p>
      <w:pPr>
        <w:spacing w:after="120"/>
      </w:pPr>
      <w:r>
        <w:t xml:space="preserve"/>
      </w:r>
    </w:p>
    <w:p>
      <w:pPr>
        <w:spacing w:after="120"/>
        <w:rPr>
          <w:b/>
          <w:bCs/>
        </w:rPr>
      </w:pPr>
      <w:r>
        <w:rPr>
          <w:b/>
          <w:bCs/>
        </w:rPr>
        <w:t xml:space="preserve">Sarah Whitfield</w:t>
      </w:r>
    </w:p>
    <w:p>
      <w:pPr>
        <w:spacing w:after="120"/>
      </w:pPr>
      <w:r>
        <w:t xml:space="preserve">Partner — Restructuring &amp; Finance</w:t>
      </w:r>
    </w:p>
    <w:p>
      <w:pPr>
        <w:spacing w:after="120"/>
      </w:pPr>
      <w:r>
        <w:t xml:space="preserve">Whitfield Carter LLP</w:t>
      </w:r>
    </w:p>
    <w:p>
      <w:pPr>
        <w:spacing w:after="120"/>
      </w:pPr>
      <w:r>
        <w:t xml:space="preserve">sarah.whitfield@whitfieldcarter.com  |  +44 (0)20 7946 1188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WC-00150 Project Willow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26"/>
        <w:szCs w:val="26"/>
      </w:rPr>
      <w:t xml:space="preserve">Whitfield Carter LLP</w:t>
    </w:r>
  </w:p>
  <w:p>
    <w:pPr>
      <w:spacing w:after="0"/>
    </w:pPr>
    <w:r>
      <w:rPr>
        <w:color w:val="555555"/>
        <w:sz w:val="16"/>
        <w:szCs w:val="16"/>
      </w:rPr>
      <w:t xml:space="preserve">22 Bishopsgate, London EC2N 4BQ   |   Solicitors</w:t>
    </w:r>
  </w:p>
  <w:p>
    <w:pPr>
      <w:pBdr>
        <w:bottom w:val="single" w:color="1F3864" w:sz="6" w:space="1"/>
      </w:pBdr>
      <w:spacing w:after="1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2026-06-26T22:18:31.350Z</dcterms:created>
  <dcterms:modified xsi:type="dcterms:W3CDTF">2026-06-26T22:18:31.350Z</dcterms:modified>
</cp:coreProperties>
</file>

<file path=docProps/custom.xml><?xml version="1.0" encoding="utf-8"?>
<Properties xmlns="http://schemas.openxmlformats.org/officeDocument/2006/custom-properties" xmlns:vt="http://schemas.openxmlformats.org/officeDocument/2006/docPropsVTypes"/>
</file>