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rPr>
          <w:b/>
          <w:bCs/>
        </w:rPr>
      </w:pPr>
      <w:r>
        <w:rPr>
          <w:b/>
          <w:bCs/>
        </w:rPr>
        <w:t xml:space="preserve">WITHOUT PREJUDICE AND SUBJECT TO CONTRACT</w:t>
      </w:r>
    </w:p>
    <w:p>
      <w:pPr>
        <w:pStyle w:val="Heading1"/>
      </w:pPr>
      <w:r>
        <w:t xml:space="preserve">Project Willow — Standstill Heads of Terms</w:t>
      </w:r>
    </w:p>
    <w:p>
      <w:pPr>
        <w:spacing w:after="120"/>
      </w:pPr>
      <w:r>
        <w:t xml:space="preserve">Between Calverton Industries Limited (the “Company”) and Pennine Business Bank plc (the “Bank”). These heads of terms are non-binding (save for the confidentiality and costs provisions) and are intended to record the principal terms of a standstill arrangement to be documented in a formal Standstill 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Agreed position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Debt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Revolving Facility £18.0m (fully drawn); Term Loan A £14.0m. Total £32.0m.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Acknowledged Defaults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Breach of leverage covenant (4.20x v 3.50x) and DSCR (1.05x v 1.20x) for Q4 2025.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Standstill Period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the Standstill Date to 31 May 2026 (subject to earlier termination on a Standstill Termination Event).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Standstill Fee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£120,000, payable on the Standstill Date.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13-week rolling cash flow every Friday; monthly management accounts within 10 business days.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Business Review by Marlow Tax &amp; Advisory Ltd, scope agreed with the Bank, delivered by 10 April 2026.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Milestones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Restructuring proposal by 30 April 2026; signed amendment &amp; restatement by 31 May 2026.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interest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Reserved; not waived. Bank’s rights in respect of the Acknowledged Defaults reserved, not released.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to pay the Bank’s reasonable legal and advisory costs.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Agreed in principle on 19 February 2026, subject to contract.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4"/>
        <w:szCs w:val="14"/>
      </w:rPr>
      <w:t xml:space="preserve">WC-00150 Project Willow   Confidential and may be legally privileged.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2026-06-26T22:18:31.411Z</dcterms:created>
  <dcterms:modified xsi:type="dcterms:W3CDTF">2026-06-26T22:18:31.411Z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