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b/>
          <w:bCs/>
        </w:rPr>
        <w:t xml:space="preserve">LEGAL ADVICE — PRIVILEGED &amp; CONFIDENTIAL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7760"/>
      </w:tblGrid>
      <w:tr>
        <w:trPr>
          <w:tblHeader w:val="false"/>
        </w:trPr>
        <w:tc>
          <w:tcPr>
            <w:tcW w:type="dxa" w:w="1600"/>
            <w:tcMar>
              <w:top w:type="dxa" w:w="60"/>
              <w:left w:type="dxa" w:w="100"/>
              <w:bottom w:type="dxa" w:w="60"/>
              <w:right w:type="dxa" w:w="100"/>
            </w:tcMar>
          </w:tcPr>
          <w:p>
            <w:pPr>
              <w:spacing w:after="0" w:line="264"/>
              <w:jc w:val="left"/>
            </w:pPr>
            <w:r>
              <w:rPr>
                <w:b w:val="false"/>
                <w:bCs w:val="false"/>
                <w:sz w:val="20"/>
                <w:szCs w:val="20"/>
              </w:rPr>
              <w:t xml:space="preserve">To</w:t>
            </w:r>
          </w:p>
        </w:tc>
        <w:tc>
          <w:tcPr>
            <w:tcW w:type="dxa" w:w="7760"/>
            <w:tcMar>
              <w:top w:type="dxa" w:w="60"/>
              <w:left w:type="dxa" w:w="100"/>
              <w:bottom w:type="dxa" w:w="60"/>
              <w:right w:type="dxa" w:w="100"/>
            </w:tcMar>
          </w:tcPr>
          <w:p>
            <w:pPr>
              <w:spacing w:after="0" w:line="264"/>
              <w:jc w:val="left"/>
            </w:pPr>
            <w:r>
              <w:rPr>
                <w:b w:val="false"/>
                <w:bCs w:val="false"/>
                <w:sz w:val="20"/>
                <w:szCs w:val="20"/>
              </w:rPr>
              <w:t xml:space="preserve">Patricia Vaughan (GC); Helen Marsh (HR Director); Andrew Calverton (CEO)</w:t>
            </w:r>
          </w:p>
        </w:tc>
      </w:tr>
      <w:tr>
        <w:trPr>
          <w:tblHeader w:val="false"/>
        </w:trPr>
        <w:tc>
          <w:tcPr>
            <w:tcW w:type="dxa" w:w="1600"/>
            <w:tcMar>
              <w:top w:type="dxa" w:w="60"/>
              <w:left w:type="dxa" w:w="100"/>
              <w:bottom w:type="dxa" w:w="60"/>
              <w:right w:type="dxa" w:w="100"/>
            </w:tcMar>
          </w:tcPr>
          <w:p>
            <w:pPr>
              <w:spacing w:after="0" w:line="264"/>
              <w:jc w:val="left"/>
            </w:pPr>
            <w:r>
              <w:rPr>
                <w:b w:val="false"/>
                <w:bCs w:val="false"/>
                <w:sz w:val="20"/>
                <w:szCs w:val="20"/>
              </w:rPr>
              <w:t xml:space="preserve">From</w:t>
            </w:r>
          </w:p>
        </w:tc>
        <w:tc>
          <w:tcPr>
            <w:tcW w:type="dxa" w:w="7760"/>
            <w:tcMar>
              <w:top w:type="dxa" w:w="60"/>
              <w:left w:type="dxa" w:w="100"/>
              <w:bottom w:type="dxa" w:w="60"/>
              <w:right w:type="dxa" w:w="100"/>
            </w:tcMar>
          </w:tcPr>
          <w:p>
            <w:pPr>
              <w:spacing w:after="0" w:line="264"/>
              <w:jc w:val="left"/>
            </w:pPr>
            <w:r>
              <w:rPr>
                <w:b w:val="false"/>
                <w:bCs w:val="false"/>
                <w:sz w:val="20"/>
                <w:szCs w:val="20"/>
              </w:rPr>
              <w:t xml:space="preserve">Tom Gallagher / Sarah Whitfield, Whitfield Carter LLP</w:t>
            </w:r>
          </w:p>
        </w:tc>
      </w:tr>
      <w:tr>
        <w:trPr>
          <w:tblHeader w:val="false"/>
        </w:trPr>
        <w:tc>
          <w:tcPr>
            <w:tcW w:type="dxa" w:w="1600"/>
            <w:tcMar>
              <w:top w:type="dxa" w:w="60"/>
              <w:left w:type="dxa" w:w="100"/>
              <w:bottom w:type="dxa" w:w="60"/>
              <w:right w:type="dxa" w:w="100"/>
            </w:tcMar>
          </w:tcPr>
          <w:p>
            <w:pPr>
              <w:spacing w:after="0" w:line="264"/>
              <w:jc w:val="left"/>
            </w:pPr>
            <w:r>
              <w:rPr>
                <w:b w:val="false"/>
                <w:bCs w:val="false"/>
                <w:sz w:val="20"/>
                <w:szCs w:val="20"/>
              </w:rPr>
              <w:t xml:space="preserve">Date</w:t>
            </w:r>
          </w:p>
        </w:tc>
        <w:tc>
          <w:tcPr>
            <w:tcW w:type="dxa" w:w="7760"/>
            <w:tcMar>
              <w:top w:type="dxa" w:w="60"/>
              <w:left w:type="dxa" w:w="100"/>
              <w:bottom w:type="dxa" w:w="60"/>
              <w:right w:type="dxa" w:w="100"/>
            </w:tcMar>
          </w:tcPr>
          <w:p>
            <w:pPr>
              <w:spacing w:after="0" w:line="264"/>
              <w:jc w:val="left"/>
            </w:pPr>
            <w:r>
              <w:rPr>
                <w:b w:val="false"/>
                <w:bCs w:val="false"/>
                <w:sz w:val="20"/>
                <w:szCs w:val="20"/>
              </w:rPr>
              <w:t xml:space="preserve">10 March 2025</w:t>
            </w:r>
          </w:p>
        </w:tc>
      </w:tr>
      <w:tr>
        <w:trPr>
          <w:tblHeader w:val="false"/>
        </w:trPr>
        <w:tc>
          <w:tcPr>
            <w:tcW w:type="dxa" w:w="1600"/>
            <w:tcMar>
              <w:top w:type="dxa" w:w="60"/>
              <w:left w:type="dxa" w:w="100"/>
              <w:bottom w:type="dxa" w:w="60"/>
              <w:right w:type="dxa" w:w="100"/>
            </w:tcMar>
          </w:tcPr>
          <w:p>
            <w:pPr>
              <w:spacing w:after="0" w:line="264"/>
              <w:jc w:val="left"/>
            </w:pPr>
            <w:r>
              <w:rPr>
                <w:b w:val="false"/>
                <w:bCs w:val="false"/>
                <w:sz w:val="20"/>
                <w:szCs w:val="20"/>
              </w:rPr>
              <w:t xml:space="preserve">Matter</w:t>
            </w:r>
          </w:p>
        </w:tc>
        <w:tc>
          <w:tcPr>
            <w:tcW w:type="dxa" w:w="7760"/>
            <w:tcMar>
              <w:top w:type="dxa" w:w="60"/>
              <w:left w:type="dxa" w:w="100"/>
              <w:bottom w:type="dxa" w:w="60"/>
              <w:right w:type="dxa" w:w="100"/>
            </w:tcMar>
          </w:tcPr>
          <w:p>
            <w:pPr>
              <w:spacing w:after="0" w:line="264"/>
              <w:jc w:val="left"/>
            </w:pPr>
            <w:r>
              <w:rPr>
                <w:b w:val="false"/>
                <w:bCs w:val="false"/>
                <w:sz w:val="20"/>
                <w:szCs w:val="20"/>
              </w:rPr>
              <w:t xml:space="preserve">WC-00135 — Rashid: grievance, exit strategy and litigation risk</w:t>
            </w:r>
          </w:p>
        </w:tc>
      </w:tr>
    </w:tbl>
    <w:p>
      <w:pPr>
        <w:spacing w:after="120" w:line="276"/>
      </w:pPr>
      <w:r>
        <w:t xml:space="preserve"/>
      </w:r>
    </w:p>
    <w:p>
      <w:pPr>
        <w:pStyle w:val="Heading1"/>
      </w:pPr>
      <w:r>
        <w:t xml:space="preserve">1.  Executive summary</w:t>
      </w:r>
    </w:p>
    <w:p>
      <w:pPr>
        <w:spacing w:after="120" w:line="276"/>
      </w:pPr>
      <w:r>
        <w:t xml:space="preserve">Mr Rashid’s grievance raises three areas of legal risk: (a) ordinary unfair dismissal if the proposed restructuring is implemented without a fair process; (b) age discrimination under the Equality Act 2010; and (c) detriment / automatically unfair dismissal arising from what he characterises as a protected disclosure about rebate accounting. Our assessment is that the redundancy rationale is weak on the current facts and that proceeding to dismissal now would carry significant litigation risk. We recommend pursuing a negotiated exit under a settlement agreement, and we set out a recommended financial range below.</w:t>
      </w:r>
    </w:p>
    <w:p>
      <w:pPr>
        <w:pStyle w:val="Heading1"/>
      </w:pPr>
      <w:r>
        <w:t xml:space="preserve">2.  Unfair dismissal</w:t>
      </w:r>
    </w:p>
    <w:p>
      <w:pPr>
        <w:spacing w:after="120" w:line="276"/>
      </w:pPr>
      <w:r>
        <w:t xml:space="preserve">Mr Rashid has more than two years’ continuous service and so qualifies for ordinary unfair-dismissal protection. If the Company dismisses him on grounds of redundancy, it must show a genuine redundancy situation and a fair process (fair selection, meaningful consultation and consideration of alternatives). The contemporaneous documents — in particular the approach already made to an external candidate — would seriously undermine any argument that there is a genuine diminished requirement for his role. A Tribunal is likely to find any such dismissal unfair. The basic and compensatory awards, capped at the statutory maximum (currently the lower of 52 weeks’ pay or the prevailing cap), together with a possible ACAS uplift of up to 25% for failure to follow the Code, represent meaningful exposure.</w:t>
      </w:r>
    </w:p>
    <w:p>
      <w:pPr>
        <w:pStyle w:val="Heading1"/>
      </w:pPr>
      <w:r>
        <w:t xml:space="preserve">3.  Age discrimination</w:t>
      </w:r>
    </w:p>
    <w:p>
      <w:pPr>
        <w:spacing w:after="120" w:line="276"/>
      </w:pPr>
      <w:r>
        <w:t xml:space="preserve">The CEO’s reported comments (“a different kind of energy”; “think about your future”) are capable of supporting an inference of age discrimination, particularly when combined with the approach to a younger external candidate. Discrimination compensation is uncapped and includes injury to feelings (Vento bands). We assess this as the most financially material head of claim. The Company should preserve all relevant documents and avoid any further age-related remarks.</w:t>
      </w:r>
    </w:p>
    <w:p>
      <w:pPr>
        <w:pStyle w:val="Heading1"/>
      </w:pPr>
      <w:r>
        <w:t xml:space="preserve">4.  Protected disclosure / whistleblowing</w:t>
      </w:r>
    </w:p>
    <w:p>
      <w:pPr>
        <w:spacing w:after="120" w:line="276"/>
      </w:pPr>
      <w:r>
        <w:t xml:space="preserve">Mr Rashid asserts that his November 2024 concerns about rebate recording were a protected disclosure. Whether they qualify depends on whether he reasonably believed the disclosure tended to show a breach of a legal obligation and that it was in the public interest. The factual basis is currently thin, but the assertion increases settlement value because (a) whistleblowing dismissals are automatically unfair with no qualifying period and uncapped compensation, and (b) the allegation is reputationally sensitive. We recommend that the rebate concern be reviewed independently of this matter.</w:t>
      </w:r>
    </w:p>
    <w:p>
      <w:pPr>
        <w:pStyle w:val="Heading1"/>
      </w:pPr>
      <w:r>
        <w:t xml:space="preserve">5.  Recommended strategy and financial range</w:t>
      </w:r>
    </w:p>
    <w:p>
      <w:pPr>
        <w:spacing w:after="120" w:line="276"/>
      </w:pPr>
      <w:r>
        <w:t xml:space="preserve">We recommend opening a protected conversation under s.111A ERA 1996 and offering a clean break on settlement terms. Our recommended financial parameters are: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360"/>
        <w:gridCol w:w="2500"/>
        <w:gridCol w:w="2500"/>
      </w:tblGrid>
      <w:tr>
        <w:trPr>
          <w:tblHeader/>
        </w:trPr>
        <w:tc>
          <w:tcPr>
            <w:tcW w:type="dxa" w:w="4360"/>
            <w:shd w:fill="1F3864" w:val="clear"/>
            <w:tcMar>
              <w:top w:type="dxa" w:w="60"/>
              <w:left w:type="dxa" w:w="100"/>
              <w:bottom w:type="dxa" w:w="60"/>
              <w:right w:type="dxa" w:w="100"/>
            </w:tcMar>
          </w:tcPr>
          <w:p>
            <w:pPr>
              <w:spacing w:after="0" w:line="264"/>
              <w:jc w:val="left"/>
            </w:pPr>
            <w:r>
              <w:rPr>
                <w:b/>
                <w:bCs/>
                <w:color w:val="FFFFFF"/>
                <w:sz w:val="20"/>
                <w:szCs w:val="20"/>
              </w:rPr>
              <w:t xml:space="preserve">Component</w:t>
            </w:r>
          </w:p>
        </w:tc>
        <w:tc>
          <w:tcPr>
            <w:tcW w:type="dxa" w:w="2500"/>
            <w:shd w:fill="1F3864" w:val="clear"/>
            <w:tcMar>
              <w:top w:type="dxa" w:w="60"/>
              <w:left w:type="dxa" w:w="100"/>
              <w:bottom w:type="dxa" w:w="60"/>
              <w:right w:type="dxa" w:w="100"/>
            </w:tcMar>
          </w:tcPr>
          <w:p>
            <w:pPr>
              <w:spacing w:after="0" w:line="264"/>
              <w:jc w:val="left"/>
            </w:pPr>
            <w:r>
              <w:rPr>
                <w:b/>
                <w:bCs/>
                <w:color w:val="FFFFFF"/>
                <w:sz w:val="20"/>
                <w:szCs w:val="20"/>
              </w:rPr>
              <w:t xml:space="preserve">Opening</w:t>
            </w:r>
          </w:p>
        </w:tc>
        <w:tc>
          <w:tcPr>
            <w:tcW w:type="dxa" w:w="2500"/>
            <w:shd w:fill="1F3864" w:val="clear"/>
            <w:tcMar>
              <w:top w:type="dxa" w:w="60"/>
              <w:left w:type="dxa" w:w="100"/>
              <w:bottom w:type="dxa" w:w="60"/>
              <w:right w:type="dxa" w:w="100"/>
            </w:tcMar>
          </w:tcPr>
          <w:p>
            <w:pPr>
              <w:spacing w:after="0" w:line="264"/>
              <w:jc w:val="left"/>
            </w:pPr>
            <w:r>
              <w:rPr>
                <w:b/>
                <w:bCs/>
                <w:color w:val="FFFFFF"/>
                <w:sz w:val="20"/>
                <w:szCs w:val="20"/>
              </w:rPr>
              <w:t xml:space="preserve">Likely landing</w:t>
            </w:r>
          </w:p>
        </w:tc>
      </w:tr>
      <w:tr>
        <w:trPr>
          <w:tblHeader w:val="false"/>
        </w:trPr>
        <w:tc>
          <w:tcPr>
            <w:tcW w:type="dxa" w:w="4360"/>
            <w:tcMar>
              <w:top w:type="dxa" w:w="60"/>
              <w:left w:type="dxa" w:w="100"/>
              <w:bottom w:type="dxa" w:w="60"/>
              <w:right w:type="dxa" w:w="100"/>
            </w:tcMar>
          </w:tcPr>
          <w:p>
            <w:pPr>
              <w:spacing w:after="0" w:line="264"/>
              <w:jc w:val="left"/>
            </w:pPr>
            <w:r>
              <w:rPr>
                <w:b w:val="false"/>
                <w:bCs w:val="false"/>
                <w:sz w:val="20"/>
                <w:szCs w:val="20"/>
              </w:rPr>
              <w:t xml:space="preserve">Contractual entitlements (PILON, accrued holiday)</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Per contract</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Per contract</w:t>
            </w:r>
          </w:p>
        </w:tc>
      </w:tr>
      <w:tr>
        <w:trPr>
          <w:tblHeader w:val="false"/>
        </w:trPr>
        <w:tc>
          <w:tcPr>
            <w:tcW w:type="dxa" w:w="4360"/>
            <w:tcMar>
              <w:top w:type="dxa" w:w="60"/>
              <w:left w:type="dxa" w:w="100"/>
              <w:bottom w:type="dxa" w:w="60"/>
              <w:right w:type="dxa" w:w="100"/>
            </w:tcMar>
          </w:tcPr>
          <w:p>
            <w:pPr>
              <w:spacing w:after="0" w:line="264"/>
              <w:jc w:val="left"/>
            </w:pPr>
            <w:r>
              <w:rPr>
                <w:b w:val="false"/>
                <w:bCs w:val="false"/>
                <w:sz w:val="20"/>
                <w:szCs w:val="20"/>
              </w:rPr>
              <w:t xml:space="preserve">Ex-gratia compensation</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£45,000</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£60,000–£75,000</w:t>
            </w:r>
          </w:p>
        </w:tc>
      </w:tr>
      <w:tr>
        <w:trPr>
          <w:tblHeader w:val="false"/>
        </w:trPr>
        <w:tc>
          <w:tcPr>
            <w:tcW w:type="dxa" w:w="4360"/>
            <w:tcMar>
              <w:top w:type="dxa" w:w="60"/>
              <w:left w:type="dxa" w:w="100"/>
              <w:bottom w:type="dxa" w:w="60"/>
              <w:right w:type="dxa" w:w="100"/>
            </w:tcMar>
          </w:tcPr>
          <w:p>
            <w:pPr>
              <w:spacing w:after="0" w:line="264"/>
              <w:jc w:val="left"/>
            </w:pPr>
            <w:r>
              <w:rPr>
                <w:b w:val="false"/>
                <w:bCs w:val="false"/>
                <w:sz w:val="20"/>
                <w:szCs w:val="20"/>
              </w:rPr>
              <w:t xml:space="preserve">Legal fee contribution (+VAT)</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£750</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£1,250–£1,500</w:t>
            </w:r>
          </w:p>
        </w:tc>
      </w:tr>
      <w:tr>
        <w:trPr>
          <w:tblHeader w:val="false"/>
        </w:trPr>
        <w:tc>
          <w:tcPr>
            <w:tcW w:type="dxa" w:w="4360"/>
            <w:tcMar>
              <w:top w:type="dxa" w:w="60"/>
              <w:left w:type="dxa" w:w="100"/>
              <w:bottom w:type="dxa" w:w="60"/>
              <w:right w:type="dxa" w:w="100"/>
            </w:tcMar>
          </w:tcPr>
          <w:p>
            <w:pPr>
              <w:spacing w:after="0" w:line="264"/>
              <w:jc w:val="left"/>
            </w:pPr>
            <w:r>
              <w:rPr>
                <w:b w:val="false"/>
                <w:bCs w:val="false"/>
                <w:sz w:val="20"/>
                <w:szCs w:val="20"/>
              </w:rPr>
              <w:t xml:space="preserve">Outplacement (optional)</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w:t>
            </w:r>
          </w:p>
        </w:tc>
        <w:tc>
          <w:tcPr>
            <w:tcW w:type="dxa" w:w="2500"/>
            <w:tcMar>
              <w:top w:type="dxa" w:w="60"/>
              <w:left w:type="dxa" w:w="100"/>
              <w:bottom w:type="dxa" w:w="60"/>
              <w:right w:type="dxa" w:w="100"/>
            </w:tcMar>
          </w:tcPr>
          <w:p>
            <w:pPr>
              <w:spacing w:after="0" w:line="264"/>
              <w:jc w:val="left"/>
            </w:pPr>
            <w:r>
              <w:rPr>
                <w:b w:val="false"/>
                <w:bCs w:val="false"/>
                <w:sz w:val="20"/>
                <w:szCs w:val="20"/>
              </w:rPr>
              <w:t xml:space="preserve">up to £5,000</w:t>
            </w:r>
          </w:p>
        </w:tc>
      </w:tr>
    </w:tbl>
    <w:p>
      <w:pPr>
        <w:spacing w:after="120" w:line="276"/>
      </w:pPr>
      <w:r>
        <w:t xml:space="preserve">In our view a total ex-gratia figure in the region of £65,000–£75,000, with an agreed reference and tightened confidentiality, represents fair value and is likely to be materially less than the cost and risk of a contested Tribunal claim, particularly given the discrimination exposure. We will revert with a draft settlement agreement once you confirm the parameters within which we may negotiate.</w:t>
      </w:r>
    </w:p>
    <w:p>
      <w:pPr>
        <w:pStyle w:val="Heading1"/>
      </w:pPr>
      <w:r>
        <w:t xml:space="preserve">6.  Next steps</w:t>
      </w:r>
    </w:p>
    <w:p>
      <w:pPr>
        <w:pStyle w:val="ListParagraph"/>
        <w:numPr>
          <w:ilvl w:val="0"/>
          <w:numId w:val="2"/>
        </w:numPr>
        <w:spacing w:after="80" w:line="276"/>
      </w:pPr>
      <w:r>
        <w:t xml:space="preserve">Confirm the negotiating mandate (we suggest authority up to £75,000 ex-gratia all-in).</w:t>
      </w:r>
    </w:p>
    <w:p>
      <w:pPr>
        <w:pStyle w:val="ListParagraph"/>
        <w:numPr>
          <w:ilvl w:val="0"/>
          <w:numId w:val="2"/>
        </w:numPr>
        <w:spacing w:after="80" w:line="276"/>
      </w:pPr>
      <w:r>
        <w:t xml:space="preserve">Issue the without-prejudice / s.111A letter (draft to follow).</w:t>
      </w:r>
    </w:p>
    <w:p>
      <w:pPr>
        <w:pStyle w:val="ListParagraph"/>
        <w:numPr>
          <w:ilvl w:val="0"/>
          <w:numId w:val="2"/>
        </w:numPr>
        <w:spacing w:after="80" w:line="276"/>
      </w:pPr>
      <w:r>
        <w:t xml:space="preserve">Commission an independent review of the rebate-recording concern, kept separate from this matter.</w:t>
      </w:r>
    </w:p>
    <w:p>
      <w:pPr>
        <w:pStyle w:val="ListParagraph"/>
        <w:numPr>
          <w:ilvl w:val="0"/>
          <w:numId w:val="2"/>
        </w:numPr>
        <w:spacing w:after="80" w:line="276"/>
      </w:pPr>
      <w:r>
        <w:t xml:space="preserve">Ensure document preservation and brief the CEO on communications discipline.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30"/>
        <w:szCs w:val="30"/>
      </w:rPr>
      <w:t xml:space="preserve">Whitfield Carter LLP</w:t>
    </w:r>
  </w:p>
  <w:p>
    <w:pPr>
      <w:spacing w:after="0"/>
      <w:jc w:val="left"/>
    </w:pPr>
    <w:r>
      <w:rPr>
        <w:color w:val="808080"/>
        <w:sz w:val="16"/>
        <w:szCs w:val="16"/>
      </w:rPr>
      <w:t xml:space="preserve">Solicitors</w:t>
    </w:r>
  </w:p>
  <w:p>
    <w:pPr>
      <w:pBdr>
        <w:bottom w:val="single" w:color="1F3864" w:sz="6" w:space="4"/>
      </w:pBdr>
      <w:spacing w:after="0" w:before="40"/>
    </w:pPr>
    <w:r>
      <w:rPr>
        <w:color w:val="808080"/>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Advice Note — Rashid</dc:title>
  <dc:creator>Whitfield Carter LLP</dc:creator>
  <cp:lastModifiedBy>Un-named</cp:lastModifiedBy>
  <cp:revision>1</cp:revision>
  <dcterms:created xsi:type="dcterms:W3CDTF">2026-06-26T01:48:44.832Z</dcterms:created>
  <dcterms:modified xsi:type="dcterms:W3CDTF">2026-06-26T01:48:44.832Z</dcterms:modified>
</cp:coreProperties>
</file>

<file path=docProps/custom.xml><?xml version="1.0" encoding="utf-8"?>
<Properties xmlns="http://schemas.openxmlformats.org/officeDocument/2006/custom-properties" xmlns:vt="http://schemas.openxmlformats.org/officeDocument/2006/docPropsVTypes"/>
</file>