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rPr>
        <w:t xml:space="preserve">IN THE EMPLOYMENT TRIBUNAL</w:t>
      </w:r>
    </w:p>
    <w:p>
      <w:pPr>
        <w:spacing w:after="160"/>
        <w:jc w:val="center"/>
      </w:pPr>
      <w:r>
        <w:rPr>
          <w:b/>
          <w:bCs/>
        </w:rPr>
        <w:t xml:space="preserve">Case Number: 3304127/2025</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9360"/>
      </w:tblGrid>
      <w:tr>
        <w:trPr>
          <w:tblHeader w:val="false"/>
        </w:trPr>
        <w:tc>
          <w:tcPr>
            <w:tcW w:type="dxa" w:w="9360"/>
            <w:tcMar>
              <w:top w:type="dxa" w:w="60"/>
              <w:left w:type="dxa" w:w="100"/>
              <w:bottom w:type="dxa" w:w="60"/>
              <w:right w:type="dxa" w:w="100"/>
            </w:tcMar>
          </w:tcPr>
          <w:p>
            <w:pPr>
              <w:spacing w:after="0" w:line="264"/>
              <w:jc w:val="left"/>
            </w:pPr>
            <w:r>
              <w:rPr>
                <w:b w:val="false"/>
                <w:bCs w:val="false"/>
                <w:sz w:val="20"/>
                <w:szCs w:val="20"/>
              </w:rPr>
              <w:t xml:space="preserve">BETWEEN:</w:t>
            </w:r>
          </w:p>
        </w:tc>
      </w:tr>
      <w:tr>
        <w:trPr>
          <w:tblHeader w:val="false"/>
        </w:trPr>
        <w:tc>
          <w:tcPr>
            <w:tcW w:type="dxa" w:w="9360"/>
            <w:tcMar>
              <w:top w:type="dxa" w:w="60"/>
              <w:left w:type="dxa" w:w="100"/>
              <w:bottom w:type="dxa" w:w="60"/>
              <w:right w:type="dxa" w:w="100"/>
            </w:tcMar>
          </w:tcPr>
          <w:p>
            <w:pPr>
              <w:spacing w:after="0" w:line="264"/>
              <w:jc w:val="left"/>
            </w:pPr>
            <w:r>
              <w:rPr>
                <w:b w:val="false"/>
                <w:bCs w:val="false"/>
                <w:sz w:val="20"/>
                <w:szCs w:val="20"/>
              </w:rPr>
              <w:t xml:space="preserve">MR IMRAN RASHID                                                                  Claimant</w:t>
            </w:r>
          </w:p>
        </w:tc>
      </w:tr>
      <w:tr>
        <w:trPr>
          <w:tblHeader w:val="false"/>
        </w:trPr>
        <w:tc>
          <w:tcPr>
            <w:tcW w:type="dxa" w:w="9360"/>
            <w:tcMar>
              <w:top w:type="dxa" w:w="60"/>
              <w:left w:type="dxa" w:w="100"/>
              <w:bottom w:type="dxa" w:w="60"/>
              <w:right w:type="dxa" w:w="100"/>
            </w:tcMar>
          </w:tcPr>
          <w:p>
            <w:pPr>
              <w:spacing w:after="0" w:line="264"/>
              <w:jc w:val="left"/>
            </w:pPr>
            <w:r>
              <w:rPr>
                <w:b w:val="false"/>
                <w:bCs w:val="false"/>
                <w:sz w:val="20"/>
                <w:szCs w:val="20"/>
              </w:rPr>
              <w:t xml:space="preserve">and</w:t>
            </w:r>
          </w:p>
        </w:tc>
      </w:tr>
      <w:tr>
        <w:trPr>
          <w:tblHeader w:val="false"/>
        </w:trPr>
        <w:tc>
          <w:tcPr>
            <w:tcW w:type="dxa" w:w="9360"/>
            <w:tcMar>
              <w:top w:type="dxa" w:w="60"/>
              <w:left w:type="dxa" w:w="100"/>
              <w:bottom w:type="dxa" w:w="60"/>
              <w:right w:type="dxa" w:w="100"/>
            </w:tcMar>
          </w:tcPr>
          <w:p>
            <w:pPr>
              <w:spacing w:after="0" w:line="264"/>
              <w:jc w:val="left"/>
            </w:pPr>
            <w:r>
              <w:rPr>
                <w:b w:val="false"/>
                <w:bCs w:val="false"/>
                <w:sz w:val="20"/>
                <w:szCs w:val="20"/>
              </w:rPr>
              <w:t xml:space="preserve">CALVERTON INDUSTRIES LIMITED                                       Respondent</w:t>
            </w:r>
          </w:p>
        </w:tc>
      </w:tr>
    </w:tbl>
    <w:p>
      <w:pPr>
        <w:spacing w:after="200" w:before="160"/>
        <w:jc w:val="center"/>
      </w:pPr>
      <w:r>
        <w:rPr>
          <w:b/>
          <w:bCs/>
          <w:sz w:val="26"/>
          <w:szCs w:val="26"/>
        </w:rPr>
        <w:t xml:space="preserve">GROUNDS OF RESISTANCE (ET3)</w:t>
      </w:r>
    </w:p>
    <w:p>
      <w:pPr>
        <w:tabs>
          <w:tab w:val="left" w:pos="720"/>
        </w:tabs>
        <w:spacing w:after="80" w:before="200"/>
      </w:pPr>
      <w:r>
        <w:rPr>
          <w:b/>
          <w:bCs/>
        </w:rPr>
        <w:t xml:space="preserve">1.</w:t>
      </w:r>
      <w:r>
        <w:rPr>
          <w:b/>
          <w:bCs/>
        </w:rPr>
        <w:t xml:space="preserve">	Introduction</w:t>
      </w:r>
    </w:p>
    <w:p>
      <w:pPr>
        <w:tabs>
          <w:tab w:val="left" w:pos="720"/>
        </w:tabs>
        <w:spacing w:after="100" w:line="276"/>
        <w:ind w:left="720" w:hanging="720"/>
      </w:pPr>
      <w:r>
        <w:t xml:space="preserve">1.1	</w:t>
      </w:r>
      <w:r>
        <w:t xml:space="preserve">Save where expressly admitted, the Respondent denies each and every allegation in the Claim and puts the Claimant to strict proof. The Respondent is a manufacturer and distributor of industrial fastening and fluid-handling components. The Claimant was employed as Chief Commercial Officer from 1 July 2019 until the termination of his employment.</w:t>
      </w:r>
    </w:p>
    <w:p>
      <w:pPr>
        <w:tabs>
          <w:tab w:val="left" w:pos="720"/>
        </w:tabs>
        <w:spacing w:after="100" w:line="276"/>
        <w:ind w:left="720" w:hanging="720"/>
      </w:pPr>
      <w:r>
        <w:t xml:space="preserve">1.2	</w:t>
      </w:r>
      <w:r>
        <w:t xml:space="preserve">This response is filed without prejudice to the Respondent’s position that the parties engaged in protected settlement discussions which are inadmissible under section 111A of the Employment Rights Act 1996.</w:t>
      </w:r>
    </w:p>
    <w:p>
      <w:pPr>
        <w:tabs>
          <w:tab w:val="left" w:pos="720"/>
        </w:tabs>
        <w:spacing w:after="80" w:before="200"/>
      </w:pPr>
      <w:r>
        <w:rPr>
          <w:b/>
          <w:bCs/>
        </w:rPr>
        <w:t xml:space="preserve">2.</w:t>
      </w:r>
      <w:r>
        <w:rPr>
          <w:b/>
          <w:bCs/>
        </w:rPr>
        <w:t xml:space="preserve">	The claims</w:t>
      </w:r>
    </w:p>
    <w:p>
      <w:pPr>
        <w:tabs>
          <w:tab w:val="left" w:pos="720"/>
        </w:tabs>
        <w:spacing w:after="100" w:line="276"/>
        <w:ind w:left="720" w:hanging="720"/>
      </w:pPr>
      <w:r>
        <w:t xml:space="preserve">2.1	</w:t>
      </w:r>
      <w:r>
        <w:t xml:space="preserve">The Claimant brings complaints of (a) unfair dismissal; (b) direct age discrimination contrary to section 13 of the Equality Act 2010; and (c) detriment and automatically unfair dismissal for having made a protected disclosure under sections 47B and 103A of the Employment Rights Act 1996. Each complaint is resisted.</w:t>
      </w:r>
    </w:p>
    <w:p>
      <w:pPr>
        <w:tabs>
          <w:tab w:val="left" w:pos="720"/>
        </w:tabs>
        <w:spacing w:after="80" w:before="200"/>
      </w:pPr>
      <w:r>
        <w:rPr>
          <w:b/>
          <w:bCs/>
        </w:rPr>
        <w:t xml:space="preserve">3.</w:t>
      </w:r>
      <w:r>
        <w:rPr>
          <w:b/>
          <w:bCs/>
        </w:rPr>
        <w:t xml:space="preserve">	Factual background</w:t>
      </w:r>
    </w:p>
    <w:p>
      <w:pPr>
        <w:tabs>
          <w:tab w:val="left" w:pos="720"/>
        </w:tabs>
        <w:spacing w:after="100" w:line="276"/>
        <w:ind w:left="720" w:hanging="720"/>
      </w:pPr>
      <w:r>
        <w:t xml:space="preserve">3.1	</w:t>
      </w:r>
      <w:r>
        <w:t xml:space="preserve">From mid-2024 the Respondent undertook a genuine review of its commercial and distribution functions in response to a decline in margin in the distribution division and a strategic decision to consolidate the commercial and marketing functions under a single Chief Customer Officer role. This was a genuine business reorganisation and not a sham.</w:t>
      </w:r>
    </w:p>
    <w:p>
      <w:pPr>
        <w:tabs>
          <w:tab w:val="left" w:pos="720"/>
        </w:tabs>
        <w:spacing w:after="100" w:line="276"/>
        <w:ind w:left="720" w:hanging="720"/>
      </w:pPr>
      <w:r>
        <w:t xml:space="preserve">3.2	</w:t>
      </w:r>
      <w:r>
        <w:t xml:space="preserve">The Respondent commenced a consultation process with the Claimant on 18 December 2024. The Claimant was informed that his role was at risk and was invited to consultation meetings, at which he was entitled to be accompanied.</w:t>
      </w:r>
    </w:p>
    <w:p>
      <w:pPr>
        <w:tabs>
          <w:tab w:val="left" w:pos="720"/>
        </w:tabs>
        <w:spacing w:after="100" w:line="276"/>
        <w:ind w:left="720" w:hanging="720"/>
      </w:pPr>
      <w:r>
        <w:t xml:space="preserve">3.3	</w:t>
      </w:r>
      <w:r>
        <w:t xml:space="preserve">The Claimant raised a grievance on 7 February 2025. The grievance was acknowledged and a grievance process was offered. The parties subsequently entered into without-prejudice discussions.</w:t>
      </w:r>
    </w:p>
    <w:p>
      <w:pPr>
        <w:tabs>
          <w:tab w:val="left" w:pos="720"/>
        </w:tabs>
        <w:spacing w:after="80" w:before="200"/>
      </w:pPr>
      <w:r>
        <w:rPr>
          <w:b/>
          <w:bCs/>
        </w:rPr>
        <w:t xml:space="preserve">4.</w:t>
      </w:r>
      <w:r>
        <w:rPr>
          <w:b/>
          <w:bCs/>
        </w:rPr>
        <w:t xml:space="preserve">	Unfair dismissal</w:t>
      </w:r>
    </w:p>
    <w:p>
      <w:pPr>
        <w:tabs>
          <w:tab w:val="left" w:pos="720"/>
        </w:tabs>
        <w:spacing w:after="100" w:line="276"/>
        <w:ind w:left="720" w:hanging="720"/>
      </w:pPr>
      <w:r>
        <w:t xml:space="preserve">4.1	</w:t>
      </w:r>
      <w:r>
        <w:t xml:space="preserve">If and to the extent the Claimant was dismissed, the reason or principal reason was redundancy, a potentially fair reason under section 98(2)(c) of the Employment Rights Act 1996, alternatively some other substantial reason under section 98(1)(b). The Respondent acted reasonably in treating that reason as sufficient and followed a fair procedure.</w:t>
      </w:r>
    </w:p>
    <w:p>
      <w:pPr>
        <w:tabs>
          <w:tab w:val="left" w:pos="720"/>
        </w:tabs>
        <w:spacing w:after="100" w:line="276"/>
        <w:ind w:left="720" w:hanging="720"/>
      </w:pPr>
      <w:r>
        <w:t xml:space="preserve">4.2	</w:t>
      </w:r>
      <w:r>
        <w:t xml:space="preserve">The Respondent denies that any selection was predetermined and denies that an external candidate had been appointed to the Claimant’s role prior to the conclusion of any process.</w:t>
      </w:r>
    </w:p>
    <w:p>
      <w:pPr>
        <w:tabs>
          <w:tab w:val="left" w:pos="720"/>
        </w:tabs>
        <w:spacing w:after="80" w:before="200"/>
      </w:pPr>
      <w:r>
        <w:rPr>
          <w:b/>
          <w:bCs/>
        </w:rPr>
        <w:t xml:space="preserve">5.</w:t>
      </w:r>
      <w:r>
        <w:rPr>
          <w:b/>
          <w:bCs/>
        </w:rPr>
        <w:t xml:space="preserve">	Age discrimination</w:t>
      </w:r>
    </w:p>
    <w:p>
      <w:pPr>
        <w:tabs>
          <w:tab w:val="left" w:pos="720"/>
        </w:tabs>
        <w:spacing w:after="100" w:line="276"/>
        <w:ind w:left="720" w:hanging="720"/>
      </w:pPr>
      <w:r>
        <w:t xml:space="preserve">5.1	</w:t>
      </w:r>
      <w:r>
        <w:t xml:space="preserve">The Respondent denies treating the Claimant less favourably because of age. The comments attributed to the Chief Executive are denied or are taken out of context and, in any event, did not relate to the Claimant’s age. Any difference in treatment was because of the genuine reorganisation and not any protected characteristic.</w:t>
      </w:r>
    </w:p>
    <w:p>
      <w:pPr>
        <w:tabs>
          <w:tab w:val="left" w:pos="720"/>
        </w:tabs>
        <w:spacing w:after="80" w:before="200"/>
      </w:pPr>
      <w:r>
        <w:rPr>
          <w:b/>
          <w:bCs/>
        </w:rPr>
        <w:t xml:space="preserve">6.</w:t>
      </w:r>
      <w:r>
        <w:rPr>
          <w:b/>
          <w:bCs/>
        </w:rPr>
        <w:t xml:space="preserve">	Protected disclosure</w:t>
      </w:r>
    </w:p>
    <w:p>
      <w:pPr>
        <w:tabs>
          <w:tab w:val="left" w:pos="720"/>
        </w:tabs>
        <w:spacing w:after="100" w:line="276"/>
        <w:ind w:left="720" w:hanging="720"/>
      </w:pPr>
      <w:r>
        <w:t xml:space="preserve">6.1	</w:t>
      </w:r>
      <w:r>
        <w:t xml:space="preserve">It is denied that the Claimant made a qualifying protected disclosure. The matters raised by the Claimant in November 2024 were ordinary operational queries and did not, in the reasonable belief of the Claimant, tend to show a breach of a legal obligation, nor were they made in the public interest. If (which is denied) any disclosure was made, it was not the reason for any detriment or dismissal.</w:t>
      </w:r>
    </w:p>
    <w:p>
      <w:pPr>
        <w:tabs>
          <w:tab w:val="left" w:pos="720"/>
        </w:tabs>
        <w:spacing w:after="80" w:before="200"/>
      </w:pPr>
      <w:r>
        <w:rPr>
          <w:b/>
          <w:bCs/>
        </w:rPr>
        <w:t xml:space="preserve">7.</w:t>
      </w:r>
      <w:r>
        <w:rPr>
          <w:b/>
          <w:bCs/>
        </w:rPr>
        <w:t xml:space="preserve">	Remedy</w:t>
      </w:r>
    </w:p>
    <w:p>
      <w:pPr>
        <w:tabs>
          <w:tab w:val="left" w:pos="720"/>
        </w:tabs>
        <w:spacing w:after="100" w:line="276"/>
        <w:ind w:left="720" w:hanging="720"/>
      </w:pPr>
      <w:r>
        <w:t xml:space="preserve">7.1	</w:t>
      </w:r>
      <w:r>
        <w:t xml:space="preserve">The Respondent denies that the Claimant is entitled to the remedy claimed or any remedy. If any compensation is awarded, the Respondent will contend that the Claimant has failed to mitigate his loss and that any award should be reduced accordingly, and that any uplift under the ACAS Code is not warranted.</w:t>
      </w:r>
    </w:p>
    <w:p>
      <w:pPr>
        <w:spacing w:after="60" w:line="276"/>
      </w:pPr>
      <w:r>
        <w:rPr>
          <w:b/>
          <w:bCs/>
        </w:rPr>
        <w:t xml:space="preserve">Statement of Truth</w:t>
      </w:r>
    </w:p>
    <w:p>
      <w:pPr>
        <w:spacing w:after="120" w:line="276"/>
      </w:pPr>
      <w:r>
        <w:t xml:space="preserve">The Respondent believes that the facts stated in this response are true. The Respondent understands that proceedings for contempt of court may be brought against anyone who makes, or causes to be made, a false statement in a document verified by a statement of truth without an honest belief in its truth.</w:t>
      </w:r>
    </w:p>
    <w:p>
      <w:pPr>
        <w:spacing w:after="0" w:line="276"/>
      </w:pPr>
      <w:r>
        <w:t xml:space="preserve">Signed: ......................................   Tom Gallagher, Whitfield Carter LLP, Solicitors for the Respondent</w:t>
      </w:r>
    </w:p>
    <w:p>
      <w:pPr>
        <w:spacing w:after="120" w:line="276"/>
      </w:pPr>
      <w:r>
        <w:t xml:space="preserve">Dated: 17 June 2025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40"/>
    </w:pPr>
    <w:r>
      <w:rPr>
        <w:color w:val="808080"/>
        <w:sz w:val="14"/>
        <w:szCs w:val="14"/>
      </w:rPr>
      <w:t xml:space="preserve">Whitfield Carter LLP is a limited liability partnership registered in England and Wales (OC#### ).  Confidential and may be legally privileged.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6"/>
      <w:szCs w:val="26"/>
    </w:rPr>
  </w:style>
  <w:style w:type="paragraph" w:styleId="Heading2">
    <w:name w:val="Heading 2"/>
    <w:basedOn w:val="Normal"/>
    <w:next w:val="Normal"/>
    <w:qFormat/>
    <w:pPr>
      <w:spacing w:after="80" w:before="160"/>
      <w:outlineLvl w:val="1"/>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ET3 Grounds of Resistance</dc:title>
  <dc:creator>Whitfield Carter LLP</dc:creator>
  <cp:lastModifiedBy>Un-named</cp:lastModifiedBy>
  <cp:revision>1</cp:revision>
  <dcterms:created xsi:type="dcterms:W3CDTF">2026-06-26T01:48:44.839Z</dcterms:created>
  <dcterms:modified xsi:type="dcterms:W3CDTF">2026-06-26T01:48:44.839Z</dcterms:modified>
</cp:coreProperties>
</file>

<file path=docProps/custom.xml><?xml version="1.0" encoding="utf-8"?>
<Properties xmlns="http://schemas.openxmlformats.org/officeDocument/2006/custom-properties" xmlns:vt="http://schemas.openxmlformats.org/officeDocument/2006/docPropsVTypes"/>
</file>