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b/>
          <w:bCs/>
        </w:rPr>
        <w:t xml:space="preserve">STRICTLY PRIVATE &amp; CONFIDENTIAL</w:t>
      </w:r>
    </w:p>
    <w:p>
      <w:pPr>
        <w:spacing w:after="200" w:line="276"/>
      </w:pPr>
      <w:r>
        <w:rPr>
          <w:i/>
          <w:iCs/>
        </w:rPr>
        <w:t xml:space="preserve">By email and by post</w:t>
      </w:r>
    </w:p>
    <w:p>
      <w:pPr>
        <w:spacing w:after="120" w:line="276"/>
      </w:pPr>
      <w:r>
        <w:t xml:space="preserve">Ms Patricia Vaughan</w:t>
      </w:r>
    </w:p>
    <w:p>
      <w:pPr>
        <w:spacing w:after="120" w:line="276"/>
      </w:pPr>
      <w:r>
        <w:t xml:space="preserve">General Counsel &amp; Company Secretary</w:t>
      </w:r>
    </w:p>
    <w:p>
      <w:pPr>
        <w:spacing w:after="120" w:line="276"/>
      </w:pPr>
      <w:r>
        <w:t xml:space="preserve">Calverton Industries Limited</w:t>
      </w:r>
    </w:p>
    <w:p>
      <w:pPr>
        <w:spacing w:after="200" w:line="276"/>
      </w:pPr>
      <w:r>
        <w:t xml:space="preserve">Calverton House, Brunel Way, Slough SL1 4QT</w:t>
      </w:r>
    </w:p>
    <w:p>
      <w:pPr>
        <w:spacing w:after="240" w:line="276"/>
      </w:pPr>
      <w:r>
        <w:rPr>
          <w:b/>
          <w:bCs/>
        </w:rPr>
        <w:t xml:space="preserve">Our ref: </w:t>
      </w:r>
      <w:r>
        <w:t xml:space="preserve">WC-00135 / SCW</w:t>
      </w:r>
      <w:r>
        <w:t xml:space="preserve">				Date: 24 February 2025</w:t>
      </w:r>
    </w:p>
    <w:p>
      <w:pPr>
        <w:spacing w:after="120" w:line="276"/>
      </w:pPr>
      <w:r>
        <w:t xml:space="preserve">Dear Patricia</w:t>
      </w:r>
    </w:p>
    <w:p>
      <w:pPr>
        <w:spacing w:after="200" w:line="276"/>
      </w:pPr>
      <w:r>
        <w:rPr>
          <w:b/>
          <w:bCs/>
        </w:rPr>
        <w:t xml:space="preserve">Re: Employment matter — Mr Imran Rashid (former Chief Commercial Officer) — terms of engagement</w:t>
      </w:r>
    </w:p>
    <w:p>
      <w:pPr>
        <w:spacing w:after="120" w:line="276"/>
      </w:pPr>
      <w:r>
        <w:t xml:space="preserve">Thank you for instructing Whitfield Carter LLP in connection with the above matter. This letter, together with our enclosed Standard Terms of Business, sets out the basis on which we will act for Calverton Industries Limited (“the Company”). Please read it carefully and confirm your agreement by returning the enclosed copy signed.</w:t>
      </w:r>
    </w:p>
    <w:p>
      <w:pPr>
        <w:pStyle w:val="Heading2"/>
      </w:pPr>
      <w:r>
        <w:t xml:space="preserve">1.  Scope of our instructions</w:t>
      </w:r>
    </w:p>
    <w:p>
      <w:pPr>
        <w:spacing w:after="120" w:line="276"/>
      </w:pPr>
      <w:r>
        <w:t xml:space="preserve">We are instructed to advise the Company in connection with the grievance raised by Mr Imran Rashid dated 7 February 2025, the management of his exit from the Company, and any consequent settlement negotiations or Employment Tribunal proceedings. Our scope includes: (a) reviewing the grievance and the Company’s position; (b) advising on the legal risks of an unfair dismissal and discrimination claim; (c) drafting and negotiating a settlement agreement under section 203 of the Employment Rights Act 1996; and (d) if no settlement is reached, advising on and conducting the defence of any Tribunal claim. Any material expansion of scope (for example, instructing counsel for a final hearing) will be agreed with you in advance.</w:t>
      </w:r>
    </w:p>
    <w:p>
      <w:pPr>
        <w:pStyle w:val="Heading2"/>
      </w:pPr>
      <w:r>
        <w:t xml:space="preserve">2.  People responsible for your work</w:t>
      </w:r>
    </w:p>
    <w:p>
      <w:pPr>
        <w:spacing w:after="120" w:line="276"/>
      </w:pPr>
      <w:r>
        <w:t xml:space="preserve">The partner with overall responsibility for this matter is Sarah Whitfield. The day-to-day conduct of the matter will be handled by Tom Gallagher (Associate), supported where appropriate by Elena Marchetti (Associate). Donna Bridges (Practice Assistant) can assist with administrative queries.</w:t>
      </w:r>
    </w:p>
    <w:p>
      <w:pPr>
        <w:pStyle w:val="Heading2"/>
      </w:pPr>
      <w:r>
        <w:t xml:space="preserve">3.  Our fees</w:t>
      </w:r>
    </w:p>
    <w:p>
      <w:pPr>
        <w:spacing w:after="120" w:line="276"/>
      </w:pPr>
      <w:r>
        <w:t xml:space="preserve">Our charges are based on the time spent on your matter, charged at the hourly rates set out below (exclusive of VAT, currently 20%):</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000"/>
        <w:gridCol w:w="3360"/>
        <w:gridCol w:w="2000"/>
      </w:tblGrid>
      <w:tr>
        <w:trPr>
          <w:tblHeader/>
        </w:trPr>
        <w:tc>
          <w:tcPr>
            <w:tcW w:type="dxa" w:w="4000"/>
            <w:shd w:fill="1F3864" w:val="clear"/>
            <w:tcMar>
              <w:top w:type="dxa" w:w="60"/>
              <w:left w:type="dxa" w:w="100"/>
              <w:bottom w:type="dxa" w:w="60"/>
              <w:right w:type="dxa" w:w="100"/>
            </w:tcMar>
          </w:tcPr>
          <w:p>
            <w:pPr>
              <w:spacing w:after="0" w:line="264"/>
              <w:jc w:val="left"/>
            </w:pPr>
            <w:r>
              <w:rPr>
                <w:b/>
                <w:bCs/>
                <w:color w:val="FFFFFF"/>
                <w:sz w:val="20"/>
                <w:szCs w:val="20"/>
              </w:rPr>
              <w:t xml:space="preserve">Fee earner</w:t>
            </w:r>
          </w:p>
        </w:tc>
        <w:tc>
          <w:tcPr>
            <w:tcW w:type="dxa" w:w="3360"/>
            <w:shd w:fill="1F3864" w:val="clear"/>
            <w:tcMar>
              <w:top w:type="dxa" w:w="60"/>
              <w:left w:type="dxa" w:w="100"/>
              <w:bottom w:type="dxa" w:w="60"/>
              <w:right w:type="dxa" w:w="100"/>
            </w:tcMar>
          </w:tcPr>
          <w:p>
            <w:pPr>
              <w:spacing w:after="0" w:line="264"/>
              <w:jc w:val="left"/>
            </w:pPr>
            <w:r>
              <w:rPr>
                <w:b/>
                <w:bCs/>
                <w:color w:val="FFFFFF"/>
                <w:sz w:val="20"/>
                <w:szCs w:val="20"/>
              </w:rPr>
              <w:t xml:space="preserve">Position</w:t>
            </w:r>
          </w:p>
        </w:tc>
        <w:tc>
          <w:tcPr>
            <w:tcW w:type="dxa" w:w="2000"/>
            <w:shd w:fill="1F3864" w:val="clear"/>
            <w:tcMar>
              <w:top w:type="dxa" w:w="60"/>
              <w:left w:type="dxa" w:w="100"/>
              <w:bottom w:type="dxa" w:w="60"/>
              <w:right w:type="dxa" w:w="100"/>
            </w:tcMar>
          </w:tcPr>
          <w:p>
            <w:pPr>
              <w:spacing w:after="0" w:line="264"/>
              <w:jc w:val="right"/>
            </w:pPr>
            <w:r>
              <w:rPr>
                <w:b/>
                <w:bCs/>
                <w:color w:val="FFFFFF"/>
                <w:sz w:val="20"/>
                <w:szCs w:val="20"/>
              </w:rPr>
              <w:t xml:space="preserve">Hourly rate</w:t>
            </w:r>
          </w:p>
        </w:tc>
      </w:tr>
      <w:tr>
        <w:trPr>
          <w:tblHeader w:val="false"/>
        </w:trPr>
        <w:tc>
          <w:tcPr>
            <w:tcW w:type="dxa" w:w="4000"/>
            <w:tcMar>
              <w:top w:type="dxa" w:w="60"/>
              <w:left w:type="dxa" w:w="100"/>
              <w:bottom w:type="dxa" w:w="60"/>
              <w:right w:type="dxa" w:w="100"/>
            </w:tcMar>
          </w:tcPr>
          <w:p>
            <w:pPr>
              <w:spacing w:after="0" w:line="264"/>
              <w:jc w:val="left"/>
            </w:pPr>
            <w:r>
              <w:rPr>
                <w:b w:val="false"/>
                <w:bCs w:val="false"/>
                <w:sz w:val="20"/>
                <w:szCs w:val="20"/>
              </w:rPr>
              <w:t xml:space="preserve">Sarah Whitfield</w:t>
            </w:r>
          </w:p>
        </w:tc>
        <w:tc>
          <w:tcPr>
            <w:tcW w:type="dxa" w:w="3360"/>
            <w:tcMar>
              <w:top w:type="dxa" w:w="60"/>
              <w:left w:type="dxa" w:w="100"/>
              <w:bottom w:type="dxa" w:w="60"/>
              <w:right w:type="dxa" w:w="100"/>
            </w:tcMar>
          </w:tcPr>
          <w:p>
            <w:pPr>
              <w:spacing w:after="0" w:line="264"/>
              <w:jc w:val="left"/>
            </w:pPr>
            <w:r>
              <w:rPr>
                <w:b w:val="false"/>
                <w:bCs w:val="false"/>
                <w:sz w:val="20"/>
                <w:szCs w:val="20"/>
              </w:rPr>
              <w:t xml:space="preserve">Partner</w:t>
            </w:r>
          </w:p>
        </w:tc>
        <w:tc>
          <w:tcPr>
            <w:tcW w:type="dxa" w:w="2000"/>
            <w:tcMar>
              <w:top w:type="dxa" w:w="60"/>
              <w:left w:type="dxa" w:w="100"/>
              <w:bottom w:type="dxa" w:w="60"/>
              <w:right w:type="dxa" w:w="100"/>
            </w:tcMar>
          </w:tcPr>
          <w:p>
            <w:pPr>
              <w:spacing w:after="0" w:line="264"/>
              <w:jc w:val="right"/>
            </w:pPr>
            <w:r>
              <w:rPr>
                <w:b w:val="false"/>
                <w:bCs w:val="false"/>
                <w:sz w:val="20"/>
                <w:szCs w:val="20"/>
              </w:rPr>
              <w:t xml:space="preserve">£595</w:t>
            </w:r>
          </w:p>
        </w:tc>
      </w:tr>
      <w:tr>
        <w:trPr>
          <w:tblHeader w:val="false"/>
        </w:trPr>
        <w:tc>
          <w:tcPr>
            <w:tcW w:type="dxa" w:w="4000"/>
            <w:tcMar>
              <w:top w:type="dxa" w:w="60"/>
              <w:left w:type="dxa" w:w="100"/>
              <w:bottom w:type="dxa" w:w="60"/>
              <w:right w:type="dxa" w:w="100"/>
            </w:tcMar>
          </w:tcPr>
          <w:p>
            <w:pPr>
              <w:spacing w:after="0" w:line="264"/>
              <w:jc w:val="left"/>
            </w:pPr>
            <w:r>
              <w:rPr>
                <w:b w:val="false"/>
                <w:bCs w:val="false"/>
                <w:sz w:val="20"/>
                <w:szCs w:val="20"/>
              </w:rPr>
              <w:t xml:space="preserve">Tom Gallagher</w:t>
            </w:r>
          </w:p>
        </w:tc>
        <w:tc>
          <w:tcPr>
            <w:tcW w:type="dxa" w:w="3360"/>
            <w:tcMar>
              <w:top w:type="dxa" w:w="60"/>
              <w:left w:type="dxa" w:w="100"/>
              <w:bottom w:type="dxa" w:w="60"/>
              <w:right w:type="dxa" w:w="100"/>
            </w:tcMar>
          </w:tcPr>
          <w:p>
            <w:pPr>
              <w:spacing w:after="0" w:line="264"/>
              <w:jc w:val="left"/>
            </w:pPr>
            <w:r>
              <w:rPr>
                <w:b w:val="false"/>
                <w:bCs w:val="false"/>
                <w:sz w:val="20"/>
                <w:szCs w:val="20"/>
              </w:rPr>
              <w:t xml:space="preserve">Associate</w:t>
            </w:r>
          </w:p>
        </w:tc>
        <w:tc>
          <w:tcPr>
            <w:tcW w:type="dxa" w:w="2000"/>
            <w:tcMar>
              <w:top w:type="dxa" w:w="60"/>
              <w:left w:type="dxa" w:w="100"/>
              <w:bottom w:type="dxa" w:w="60"/>
              <w:right w:type="dxa" w:w="100"/>
            </w:tcMar>
          </w:tcPr>
          <w:p>
            <w:pPr>
              <w:spacing w:after="0" w:line="264"/>
              <w:jc w:val="right"/>
            </w:pPr>
            <w:r>
              <w:rPr>
                <w:b w:val="false"/>
                <w:bCs w:val="false"/>
                <w:sz w:val="20"/>
                <w:szCs w:val="20"/>
              </w:rPr>
              <w:t xml:space="preserve">£375</w:t>
            </w:r>
          </w:p>
        </w:tc>
      </w:tr>
      <w:tr>
        <w:trPr>
          <w:tblHeader w:val="false"/>
        </w:trPr>
        <w:tc>
          <w:tcPr>
            <w:tcW w:type="dxa" w:w="4000"/>
            <w:tcMar>
              <w:top w:type="dxa" w:w="60"/>
              <w:left w:type="dxa" w:w="100"/>
              <w:bottom w:type="dxa" w:w="60"/>
              <w:right w:type="dxa" w:w="100"/>
            </w:tcMar>
          </w:tcPr>
          <w:p>
            <w:pPr>
              <w:spacing w:after="0" w:line="264"/>
              <w:jc w:val="left"/>
            </w:pPr>
            <w:r>
              <w:rPr>
                <w:b w:val="false"/>
                <w:bCs w:val="false"/>
                <w:sz w:val="20"/>
                <w:szCs w:val="20"/>
              </w:rPr>
              <w:t xml:space="preserve">Elena Marchetti</w:t>
            </w:r>
          </w:p>
        </w:tc>
        <w:tc>
          <w:tcPr>
            <w:tcW w:type="dxa" w:w="3360"/>
            <w:tcMar>
              <w:top w:type="dxa" w:w="60"/>
              <w:left w:type="dxa" w:w="100"/>
              <w:bottom w:type="dxa" w:w="60"/>
              <w:right w:type="dxa" w:w="100"/>
            </w:tcMar>
          </w:tcPr>
          <w:p>
            <w:pPr>
              <w:spacing w:after="0" w:line="264"/>
              <w:jc w:val="left"/>
            </w:pPr>
            <w:r>
              <w:rPr>
                <w:b w:val="false"/>
                <w:bCs w:val="false"/>
                <w:sz w:val="20"/>
                <w:szCs w:val="20"/>
              </w:rPr>
              <w:t xml:space="preserve">Associate</w:t>
            </w:r>
          </w:p>
        </w:tc>
        <w:tc>
          <w:tcPr>
            <w:tcW w:type="dxa" w:w="2000"/>
            <w:tcMar>
              <w:top w:type="dxa" w:w="60"/>
              <w:left w:type="dxa" w:w="100"/>
              <w:bottom w:type="dxa" w:w="60"/>
              <w:right w:type="dxa" w:w="100"/>
            </w:tcMar>
          </w:tcPr>
          <w:p>
            <w:pPr>
              <w:spacing w:after="0" w:line="264"/>
              <w:jc w:val="right"/>
            </w:pPr>
            <w:r>
              <w:rPr>
                <w:b w:val="false"/>
                <w:bCs w:val="false"/>
                <w:sz w:val="20"/>
                <w:szCs w:val="20"/>
              </w:rPr>
              <w:t xml:space="preserve">£340</w:t>
            </w:r>
          </w:p>
        </w:tc>
      </w:tr>
      <w:tr>
        <w:trPr>
          <w:tblHeader w:val="false"/>
        </w:trPr>
        <w:tc>
          <w:tcPr>
            <w:tcW w:type="dxa" w:w="4000"/>
            <w:tcMar>
              <w:top w:type="dxa" w:w="60"/>
              <w:left w:type="dxa" w:w="100"/>
              <w:bottom w:type="dxa" w:w="60"/>
              <w:right w:type="dxa" w:w="100"/>
            </w:tcMar>
          </w:tcPr>
          <w:p>
            <w:pPr>
              <w:spacing w:after="0" w:line="264"/>
              <w:jc w:val="left"/>
            </w:pPr>
            <w:r>
              <w:rPr>
                <w:b w:val="false"/>
                <w:bCs w:val="false"/>
                <w:sz w:val="20"/>
                <w:szCs w:val="20"/>
              </w:rPr>
              <w:t xml:space="preserve">Donna Bridges</w:t>
            </w:r>
          </w:p>
        </w:tc>
        <w:tc>
          <w:tcPr>
            <w:tcW w:type="dxa" w:w="3360"/>
            <w:tcMar>
              <w:top w:type="dxa" w:w="60"/>
              <w:left w:type="dxa" w:w="100"/>
              <w:bottom w:type="dxa" w:w="60"/>
              <w:right w:type="dxa" w:w="100"/>
            </w:tcMar>
          </w:tcPr>
          <w:p>
            <w:pPr>
              <w:spacing w:after="0" w:line="264"/>
              <w:jc w:val="left"/>
            </w:pPr>
            <w:r>
              <w:rPr>
                <w:b w:val="false"/>
                <w:bCs w:val="false"/>
                <w:sz w:val="20"/>
                <w:szCs w:val="20"/>
              </w:rPr>
              <w:t xml:space="preserve">Practice Assistant</w:t>
            </w:r>
          </w:p>
        </w:tc>
        <w:tc>
          <w:tcPr>
            <w:tcW w:type="dxa" w:w="2000"/>
            <w:tcMar>
              <w:top w:type="dxa" w:w="60"/>
              <w:left w:type="dxa" w:w="100"/>
              <w:bottom w:type="dxa" w:w="60"/>
              <w:right w:type="dxa" w:w="100"/>
            </w:tcMar>
          </w:tcPr>
          <w:p>
            <w:pPr>
              <w:spacing w:after="0" w:line="264"/>
              <w:jc w:val="right"/>
            </w:pPr>
            <w:r>
              <w:rPr>
                <w:b w:val="false"/>
                <w:bCs w:val="false"/>
                <w:sz w:val="20"/>
                <w:szCs w:val="20"/>
              </w:rPr>
              <w:t xml:space="preserve">£140</w:t>
            </w:r>
          </w:p>
        </w:tc>
      </w:tr>
    </w:tbl>
    <w:p>
      <w:pPr>
        <w:spacing w:after="120" w:line="276"/>
      </w:pPr>
      <w:r>
        <w:t xml:space="preserve">We estimate our fees to advise on the grievance and to negotiate a settlement agreement (if matters resolve without a contested hearing) at between £18,000 and £30,000 plus VAT and disbursements. Should the matter proceed to a contested Tribunal hearing, our fees are likely to be materially higher and we will provide a revised estimate at that stage. This is an estimate and not a fixed fee or cap.</w:t>
      </w:r>
    </w:p>
    <w:p>
      <w:pPr>
        <w:pStyle w:val="Heading2"/>
      </w:pPr>
      <w:r>
        <w:t xml:space="preserve">4.  Disbursements</w:t>
      </w:r>
    </w:p>
    <w:p>
      <w:pPr>
        <w:spacing w:after="120" w:line="276"/>
      </w:pPr>
      <w:r>
        <w:t xml:space="preserve">Disbursements are expenses we incur on your behalf, such as counsel’s fees, Tribunal fees (where applicable), courier and travel costs. We will seek your authority before incurring any single disbursement in excess of £1,000.</w:t>
      </w:r>
    </w:p>
    <w:p>
      <w:pPr>
        <w:pStyle w:val="Heading2"/>
      </w:pPr>
      <w:r>
        <w:t xml:space="preserve">5.  Billing</w:t>
      </w:r>
    </w:p>
    <w:p>
      <w:pPr>
        <w:spacing w:after="120" w:line="276"/>
      </w:pPr>
      <w:r>
        <w:t xml:space="preserve">We will deliver interim invoices monthly. Invoices are payable within 14 days of delivery. We may require a payment on account of £5,000, which will be held in our client account and applied against invoices.</w:t>
      </w:r>
    </w:p>
    <w:p>
      <w:pPr>
        <w:pStyle w:val="Heading2"/>
      </w:pPr>
      <w:r>
        <w:t xml:space="preserve">6.  Confidentiality, privilege and data protection</w:t>
      </w:r>
    </w:p>
    <w:p>
      <w:pPr>
        <w:spacing w:after="120" w:line="276"/>
      </w:pPr>
      <w:r>
        <w:t xml:space="preserve">Communications between us are confidential and, in most cases, protected by legal professional privilege. We will process personal data in accordance with our Privacy Notice and applicable data protection law. Given the without-prejudice and protected-conversation nature of parts of this matter, we ask that internal circulation of our advice be limited to those who need to see it.</w:t>
      </w:r>
    </w:p>
    <w:p>
      <w:pPr>
        <w:pStyle w:val="Heading2"/>
      </w:pPr>
      <w:r>
        <w:t xml:space="preserve">7.  Complaints and regulation</w:t>
      </w:r>
    </w:p>
    <w:p>
      <w:pPr>
        <w:spacing w:after="120" w:line="276"/>
      </w:pPr>
      <w:r>
        <w:t xml:space="preserve">Whitfield Carter LLP is authorised and regulated by the Solicitors Regulation Authority. If you are unhappy with any aspect of our service you should raise it with Sarah Whitfield in the first instance; a copy of our complaints procedure is available on request.</w:t>
      </w:r>
    </w:p>
    <w:p>
      <w:pPr>
        <w:pStyle w:val="Heading2"/>
      </w:pPr>
      <w:r>
        <w:t xml:space="preserve">8.  Acceptance</w:t>
      </w:r>
    </w:p>
    <w:p>
      <w:pPr>
        <w:spacing w:after="200" w:line="276"/>
      </w:pPr>
      <w:r>
        <w:t xml:space="preserve">Please confirm your agreement to these terms by signing and returning the enclosed copy of this letter. Unless we hear otherwise, we will assume your acceptance once we begin or continue work on your instructions.</w:t>
      </w:r>
    </w:p>
    <w:p>
      <w:pPr>
        <w:spacing w:after="240" w:line="276"/>
      </w:pPr>
      <w:r>
        <w:t xml:space="preserve">We look forward to working with you on this matter.</w:t>
      </w:r>
    </w:p>
    <w:p>
      <w:pPr>
        <w:spacing w:after="360" w:line="276"/>
      </w:pPr>
      <w:r>
        <w:t xml:space="preserve">Yours sincerely</w:t>
      </w:r>
    </w:p>
    <w:p>
      <w:pPr>
        <w:spacing w:after="0" w:line="276"/>
      </w:pPr>
      <w:r>
        <w:rPr>
          <w:b/>
          <w:bCs/>
        </w:rPr>
        <w:t xml:space="preserve">Sarah Whitfield</w:t>
      </w:r>
    </w:p>
    <w:p>
      <w:pPr>
        <w:spacing w:after="120" w:line="276"/>
      </w:pPr>
      <w:r>
        <w:t xml:space="preserve">Partner</w:t>
      </w:r>
    </w:p>
    <w:p>
      <w:pPr>
        <w:spacing w:after="240" w:line="276"/>
      </w:pPr>
      <w:r>
        <w:t xml:space="preserve">For and on behalf of Whitfield Carter LLP</w:t>
      </w:r>
    </w:p>
    <w:p>
      <w:pPr>
        <w:spacing w:after="120" w:line="276"/>
      </w:pPr>
      <w:r>
        <w:t xml:space="preserve">Enc.  Standard Terms of Business; Privacy Notice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pPr>
    <w:r>
      <w:rPr>
        <w:color w:val="808080"/>
        <w:sz w:val="14"/>
        <w:szCs w:val="14"/>
      </w:rPr>
      <w:t xml:space="preserve">Whitfield Carter LLP is a limited liability partnership registered in England and Wales (OC#### ).  Confidential and may be legally privileged.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30"/>
        <w:szCs w:val="30"/>
      </w:rPr>
      <w:t xml:space="preserve">Whitfield Carter LLP</w:t>
    </w:r>
  </w:p>
  <w:p>
    <w:pPr>
      <w:spacing w:after="0"/>
      <w:jc w:val="left"/>
    </w:pPr>
    <w:r>
      <w:rPr>
        <w:color w:val="808080"/>
        <w:sz w:val="16"/>
        <w:szCs w:val="16"/>
      </w:rPr>
      <w:t xml:space="preserve">Solicitors</w:t>
    </w:r>
  </w:p>
  <w:p>
    <w:pPr>
      <w:pBdr>
        <w:bottom w:val="single" w:color="1F3864" w:sz="6" w:space="4"/>
      </w:pBdr>
      <w:spacing w:after="0" w:before="40"/>
    </w:pPr>
    <w:r>
      <w:rPr>
        <w:color w:val="808080"/>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 — Rashid</dc:title>
  <dc:creator>Whitfield Carter LLP</dc:creator>
  <cp:lastModifiedBy>Un-named</cp:lastModifiedBy>
  <cp:revision>1</cp:revision>
  <dcterms:created xsi:type="dcterms:W3CDTF">2026-06-26T01:48:44.797Z</dcterms:created>
  <dcterms:modified xsi:type="dcterms:W3CDTF">2026-06-26T01:48:44.797Z</dcterms:modified>
</cp:coreProperties>
</file>

<file path=docProps/custom.xml><?xml version="1.0" encoding="utf-8"?>
<Properties xmlns="http://schemas.openxmlformats.org/officeDocument/2006/custom-properties" xmlns:vt="http://schemas.openxmlformats.org/officeDocument/2006/docPropsVTypes"/>
</file>