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3 JUNE 2019</w:t>
      </w:r>
    </w:p>
    <w:p>
      <w:pPr>
        <w:spacing w:after="200"/>
        <w:jc w:val="center"/>
      </w:pPr>
      <w:r>
        <w:rPr>
          <w:sz w:val="18"/>
          <w:szCs w:val="18"/>
        </w:rPr>
        <w:t xml:space="preserve">________________________________</w:t>
      </w:r>
    </w:p>
    <w:p>
      <w:pPr>
        <w:spacing w:after="40"/>
        <w:jc w:val="center"/>
      </w:pPr>
      <w:r>
        <w:rPr>
          <w:b/>
          <w:bCs/>
        </w:rPr>
        <w:t xml:space="preserve">CALVERTON INDUSTRIES LIMITED</w:t>
      </w:r>
    </w:p>
    <w:p>
      <w:pPr>
        <w:spacing w:after="40"/>
        <w:jc w:val="center"/>
      </w:pPr>
      <w:r>
        <w:t xml:space="preserve">(1)</w:t>
      </w:r>
    </w:p>
    <w:p>
      <w:pPr>
        <w:spacing w:after="40"/>
        <w:jc w:val="center"/>
      </w:pPr>
      <w:r>
        <w:t xml:space="preserve">and</w:t>
      </w:r>
    </w:p>
    <w:p>
      <w:pPr>
        <w:spacing w:after="40"/>
        <w:jc w:val="center"/>
      </w:pPr>
      <w:r>
        <w:rPr>
          <w:b/>
          <w:bCs/>
        </w:rPr>
        <w:t xml:space="preserve">IMRAN RASHID</w:t>
      </w:r>
    </w:p>
    <w:p>
      <w:pPr>
        <w:spacing w:after="240"/>
        <w:jc w:val="center"/>
      </w:pPr>
      <w:r>
        <w:t xml:space="preserve">(2)</w:t>
      </w:r>
    </w:p>
    <w:p>
      <w:pPr>
        <w:spacing w:after="60"/>
        <w:jc w:val="center"/>
      </w:pPr>
      <w:r>
        <w:rPr>
          <w:b/>
          <w:bCs/>
          <w:sz w:val="30"/>
          <w:szCs w:val="30"/>
        </w:rPr>
        <w:t xml:space="preserve">SERVICE AGREEMENT</w:t>
      </w:r>
    </w:p>
    <w:p>
      <w:pPr>
        <w:spacing w:after="200"/>
        <w:jc w:val="center"/>
      </w:pPr>
      <w:r>
        <w:rPr>
          <w:i/>
          <w:iCs/>
        </w:rPr>
        <w:t xml:space="preserve">(Chief Commercial Officer)</w:t>
      </w:r>
    </w:p>
    <w:p>
      <w:pPr>
        <w:pageBreakBefore/>
      </w:pPr>
      <w:r>
        <w:t xml:space="preserve"/>
      </w:r>
    </w:p>
    <w:p>
      <w:pPr>
        <w:spacing w:after="120" w:line="276"/>
      </w:pPr>
      <w:r>
        <w:rPr>
          <w:b/>
          <w:bCs/>
        </w:rPr>
        <w:t xml:space="preserve">THIS AGREEMENT</w:t>
      </w:r>
      <w:r>
        <w:t xml:space="preserve"> is made on 3 June 2019</w:t>
      </w:r>
    </w:p>
    <w:p>
      <w:pPr>
        <w:spacing w:after="80" w:line="276"/>
      </w:pPr>
      <w:r>
        <w:rPr>
          <w:b/>
          <w:bCs/>
        </w:rPr>
        <w:t xml:space="preserve">BETWEEN:</w:t>
      </w:r>
    </w:p>
    <w:p>
      <w:pPr>
        <w:tabs>
          <w:tab w:val="left" w:pos="720"/>
        </w:tabs>
        <w:spacing w:after="100" w:line="276"/>
        <w:ind w:left="720" w:hanging="720"/>
      </w:pPr>
      <w:r>
        <w:t xml:space="preserve">(1)	</w:t>
      </w:r>
      <w:r>
        <w:rPr>
          <w:b/>
          <w:bCs/>
        </w:rPr>
        <w:t xml:space="preserve">CALVERTON INDUSTRIES LIMITED</w:t>
      </w:r>
      <w:r>
        <w:t xml:space="preserve"> (company number 04412756) whose registered office is at Calverton House, Brunel Way, Slough SL1 4QT (the “Company”); and</w:t>
      </w:r>
    </w:p>
    <w:p>
      <w:pPr>
        <w:tabs>
          <w:tab w:val="left" w:pos="720"/>
        </w:tabs>
        <w:spacing w:after="100" w:line="276"/>
        <w:ind w:left="720" w:hanging="720"/>
      </w:pPr>
      <w:r>
        <w:t xml:space="preserve">(2)	</w:t>
      </w:r>
      <w:r>
        <w:rPr>
          <w:b/>
          <w:bCs/>
        </w:rPr>
        <w:t xml:space="preserve">IMRAN RASHID</w:t>
      </w:r>
      <w:r>
        <w:t xml:space="preserve"> of 14 Maybury Gardens, Beaconsfield HP9 2LT (the “Executive”).</w:t>
      </w:r>
    </w:p>
    <w:p>
      <w:pPr>
        <w:spacing w:after="120" w:line="276"/>
      </w:pPr>
      <w:r>
        <w:rPr>
          <w:b/>
          <w:bCs/>
        </w:rPr>
        <w:t xml:space="preserve">IT IS AGREED</w:t>
      </w:r>
      <w:r>
        <w:t xml:space="preserve"> as follows:</w:t>
      </w:r>
    </w:p>
    <w:p>
      <w:pPr>
        <w:tabs>
          <w:tab w:val="left" w:pos="720"/>
        </w:tabs>
        <w:spacing w:after="80" w:before="200"/>
      </w:pPr>
      <w:r>
        <w:rPr>
          <w:b/>
          <w:bCs/>
        </w:rPr>
        <w:t xml:space="preserve">1.</w:t>
      </w:r>
      <w:r>
        <w:rPr>
          <w:b/>
          <w:bCs/>
        </w:rPr>
        <w:t xml:space="preserve">	Definitions and interpretation</w:t>
      </w:r>
    </w:p>
    <w:p>
      <w:pPr>
        <w:tabs>
          <w:tab w:val="left" w:pos="720"/>
        </w:tabs>
        <w:spacing w:after="100" w:line="276"/>
        <w:ind w:left="720" w:hanging="720"/>
      </w:pPr>
      <w:r>
        <w:t xml:space="preserve">1.1	</w:t>
      </w:r>
      <w:r>
        <w:t xml:space="preserve">In this Agreement, unless the context otherwise requires: “Board” means the board of directors of the Company; “Commencement Date” means 1 July 2019; “Confidential Information” means information relating to the business, customers, suppliers, finances and affairs of the Company and any Group Company; “Group Company” means the Company, its subsidiaries and holding company; and “Termination Date” means the date on which the Executive’s employment terminates.</w:t>
      </w:r>
    </w:p>
    <w:p>
      <w:pPr>
        <w:tabs>
          <w:tab w:val="left" w:pos="720"/>
        </w:tabs>
        <w:spacing w:after="100" w:line="276"/>
        <w:ind w:left="720" w:hanging="720"/>
      </w:pPr>
      <w:r>
        <w:t xml:space="preserve">1.2	</w:t>
      </w:r>
      <w:r>
        <w:t xml:space="preserve">Clause headings are for convenience only and do not affect interpretation. References to statutory provisions include any modification or re-enactment of them.</w:t>
      </w:r>
    </w:p>
    <w:p>
      <w:pPr>
        <w:tabs>
          <w:tab w:val="left" w:pos="720"/>
        </w:tabs>
        <w:spacing w:after="80" w:before="200"/>
      </w:pPr>
      <w:r>
        <w:rPr>
          <w:b/>
          <w:bCs/>
        </w:rPr>
        <w:t xml:space="preserve">2.</w:t>
      </w:r>
      <w:r>
        <w:rPr>
          <w:b/>
          <w:bCs/>
        </w:rPr>
        <w:t xml:space="preserve">	Appointment and term</w:t>
      </w:r>
    </w:p>
    <w:p>
      <w:pPr>
        <w:tabs>
          <w:tab w:val="left" w:pos="720"/>
        </w:tabs>
        <w:spacing w:after="100" w:line="276"/>
        <w:ind w:left="720" w:hanging="720"/>
      </w:pPr>
      <w:r>
        <w:t xml:space="preserve">2.1	</w:t>
      </w:r>
      <w:r>
        <w:t xml:space="preserve">The Company appoints the Executive and the Executive agrees to serve as Chief Commercial Officer from the Commencement Date. The Executive’s period of continuous employment began on the Commencement Date.</w:t>
      </w:r>
    </w:p>
    <w:p>
      <w:pPr>
        <w:tabs>
          <w:tab w:val="left" w:pos="720"/>
        </w:tabs>
        <w:spacing w:after="100" w:line="276"/>
        <w:ind w:left="720" w:hanging="720"/>
      </w:pPr>
      <w:r>
        <w:t xml:space="preserve">2.2	</w:t>
      </w:r>
      <w:r>
        <w:t xml:space="preserve">The appointment is subject to satisfactory completion of a probationary period of six months and continues until terminated in accordance with clause 14.</w:t>
      </w:r>
    </w:p>
    <w:p>
      <w:pPr>
        <w:tabs>
          <w:tab w:val="left" w:pos="720"/>
        </w:tabs>
        <w:spacing w:after="80" w:before="200"/>
      </w:pPr>
      <w:r>
        <w:rPr>
          <w:b/>
          <w:bCs/>
        </w:rPr>
        <w:t xml:space="preserve">3.</w:t>
      </w:r>
      <w:r>
        <w:rPr>
          <w:b/>
          <w:bCs/>
        </w:rPr>
        <w:t xml:space="preserve">	Duties</w:t>
      </w:r>
    </w:p>
    <w:p>
      <w:pPr>
        <w:tabs>
          <w:tab w:val="left" w:pos="720"/>
        </w:tabs>
        <w:spacing w:after="100" w:line="276"/>
        <w:ind w:left="720" w:hanging="720"/>
      </w:pPr>
      <w:r>
        <w:t xml:space="preserve">3.1	</w:t>
      </w:r>
      <w:r>
        <w:t xml:space="preserve">The Executive shall report to the Chief Executive Officer and shall be responsible for the Company’s commercial, sales and business-development functions, including pricing strategy, key-account management and the commercial performance of the Company’s distribution division.</w:t>
      </w:r>
    </w:p>
    <w:p>
      <w:pPr>
        <w:tabs>
          <w:tab w:val="left" w:pos="720"/>
        </w:tabs>
        <w:spacing w:after="100" w:line="276"/>
        <w:ind w:left="720" w:hanging="720"/>
      </w:pPr>
      <w:r>
        <w:t xml:space="preserve">3.2	</w:t>
      </w:r>
      <w:r>
        <w:t xml:space="preserve">The Executive shall devote the whole of their working time, attention and abilities to the business of the Company and shall faithfully and diligently perform such duties and exercise such powers consistent with the position as may from time to time be assigned to or vested in them by the Board.</w:t>
      </w:r>
    </w:p>
    <w:p>
      <w:pPr>
        <w:tabs>
          <w:tab w:val="left" w:pos="720"/>
        </w:tabs>
        <w:spacing w:after="100" w:line="276"/>
        <w:ind w:left="720" w:hanging="720"/>
      </w:pPr>
      <w:r>
        <w:t xml:space="preserve">3.3	</w:t>
      </w:r>
      <w:r>
        <w:t xml:space="preserve">The Executive shall not, without the prior written consent of the Board, be directly or indirectly engaged or interested in any other business, save as a holder of not more than 3% of any class of securities of a publicly listed company.</w:t>
      </w:r>
    </w:p>
    <w:p>
      <w:pPr>
        <w:tabs>
          <w:tab w:val="left" w:pos="720"/>
        </w:tabs>
        <w:spacing w:after="80" w:before="200"/>
      </w:pPr>
      <w:r>
        <w:rPr>
          <w:b/>
          <w:bCs/>
        </w:rPr>
        <w:t xml:space="preserve">4.</w:t>
      </w:r>
      <w:r>
        <w:rPr>
          <w:b/>
          <w:bCs/>
        </w:rPr>
        <w:t xml:space="preserve">	Place of work</w:t>
      </w:r>
    </w:p>
    <w:p>
      <w:pPr>
        <w:tabs>
          <w:tab w:val="left" w:pos="720"/>
        </w:tabs>
        <w:spacing w:after="100" w:line="276"/>
        <w:ind w:left="720" w:hanging="720"/>
      </w:pPr>
      <w:r>
        <w:t xml:space="preserve">4.1	</w:t>
      </w:r>
      <w:r>
        <w:t xml:space="preserve">The Executive’s normal place of work is the Company’s premises at Slough or such other place within the United Kingdom as the Company may reasonably require. The Executive may be required to travel within the United Kingdom and abroad in the performance of their duties.</w:t>
      </w:r>
    </w:p>
    <w:p>
      <w:pPr>
        <w:tabs>
          <w:tab w:val="left" w:pos="720"/>
        </w:tabs>
        <w:spacing w:after="80" w:before="200"/>
      </w:pPr>
      <w:r>
        <w:rPr>
          <w:b/>
          <w:bCs/>
        </w:rPr>
        <w:t xml:space="preserve">5.</w:t>
      </w:r>
      <w:r>
        <w:rPr>
          <w:b/>
          <w:bCs/>
        </w:rPr>
        <w:t xml:space="preserve">	Hours of work</w:t>
      </w:r>
    </w:p>
    <w:p>
      <w:pPr>
        <w:tabs>
          <w:tab w:val="left" w:pos="720"/>
        </w:tabs>
        <w:spacing w:after="100" w:line="276"/>
        <w:ind w:left="720" w:hanging="720"/>
      </w:pPr>
      <w:r>
        <w:t xml:space="preserve">5.1	</w:t>
      </w:r>
      <w:r>
        <w:t xml:space="preserve">The Executive’s normal working hours are 9.00 a.m. to 5.30 p.m. Monday to Friday, together with such additional hours as may be necessary for the proper performance of their duties. The Executive agrees that the working time limits in the Working Time Regulations 1998 do not apply and, to the extent necessary, opts out of the 48-hour weekly limit.</w:t>
      </w:r>
    </w:p>
    <w:p>
      <w:pPr>
        <w:tabs>
          <w:tab w:val="left" w:pos="720"/>
        </w:tabs>
        <w:spacing w:after="80" w:before="200"/>
      </w:pPr>
      <w:r>
        <w:rPr>
          <w:b/>
          <w:bCs/>
        </w:rPr>
        <w:t xml:space="preserve">6.</w:t>
      </w:r>
      <w:r>
        <w:rPr>
          <w:b/>
          <w:bCs/>
        </w:rPr>
        <w:t xml:space="preserve">	Remuneration</w:t>
      </w:r>
    </w:p>
    <w:p>
      <w:pPr>
        <w:tabs>
          <w:tab w:val="left" w:pos="720"/>
        </w:tabs>
        <w:spacing w:after="100" w:line="276"/>
        <w:ind w:left="720" w:hanging="720"/>
      </w:pPr>
      <w:r>
        <w:t xml:space="preserve">6.1	</w:t>
      </w:r>
      <w:r>
        <w:t xml:space="preserve">The Company shall pay the Executive a basic salary of £148,000 per annum, payable in equal monthly instalments in arrears. The basic salary shall be reviewed (but not necessarily increased) annually.</w:t>
      </w:r>
    </w:p>
    <w:p>
      <w:pPr>
        <w:tabs>
          <w:tab w:val="left" w:pos="720"/>
        </w:tabs>
        <w:spacing w:after="100" w:line="276"/>
        <w:ind w:left="720" w:hanging="720"/>
      </w:pPr>
      <w:r>
        <w:t xml:space="preserve">6.2	</w:t>
      </w:r>
      <w:r>
        <w:t xml:space="preserve">The Executive shall be eligible to participate in the Company’s annual discretionary bonus scheme, with a target bonus of 40% of basic salary subject to the achievement of personal and Company performance objectives set by the Board. Payment of any bonus is entirely discretionary and conditional on the Executive being employed and not under notice at the payment date.</w:t>
      </w:r>
    </w:p>
    <w:p>
      <w:pPr>
        <w:tabs>
          <w:tab w:val="left" w:pos="720"/>
        </w:tabs>
        <w:spacing w:after="80" w:before="200"/>
      </w:pPr>
      <w:r>
        <w:rPr>
          <w:b/>
          <w:bCs/>
        </w:rPr>
        <w:t xml:space="preserve">7.</w:t>
      </w:r>
      <w:r>
        <w:rPr>
          <w:b/>
          <w:bCs/>
        </w:rPr>
        <w:t xml:space="preserve">	Benefits</w:t>
      </w:r>
    </w:p>
    <w:p>
      <w:pPr>
        <w:tabs>
          <w:tab w:val="left" w:pos="720"/>
        </w:tabs>
        <w:spacing w:after="100" w:line="276"/>
        <w:ind w:left="720" w:hanging="720"/>
      </w:pPr>
      <w:r>
        <w:t xml:space="preserve">7.1	</w:t>
      </w:r>
      <w:r>
        <w:t xml:space="preserve">The Executive shall be entitled to participate in the Company’s private medical insurance scheme, permanent health insurance and life assurance (4× salary), and to a car allowance of £9,600 per annum, subject in each case to the rules of the relevant scheme from time to time in force.</w:t>
      </w:r>
    </w:p>
    <w:p>
      <w:pPr>
        <w:tabs>
          <w:tab w:val="left" w:pos="720"/>
        </w:tabs>
        <w:spacing w:after="100" w:line="276"/>
        <w:ind w:left="720" w:hanging="720"/>
      </w:pPr>
      <w:r>
        <w:t xml:space="preserve">7.2	</w:t>
      </w:r>
      <w:r>
        <w:t xml:space="preserve">The Company shall make pension contributions equal to 8% of basic salary to the Company’s group personal pension scheme, subject to the Executive contributing not less than 4%.</w:t>
      </w:r>
    </w:p>
    <w:p>
      <w:pPr>
        <w:tabs>
          <w:tab w:val="left" w:pos="720"/>
        </w:tabs>
        <w:spacing w:after="80" w:before="200"/>
      </w:pPr>
      <w:r>
        <w:rPr>
          <w:b/>
          <w:bCs/>
        </w:rPr>
        <w:t xml:space="preserve">8.</w:t>
      </w:r>
      <w:r>
        <w:rPr>
          <w:b/>
          <w:bCs/>
        </w:rPr>
        <w:t xml:space="preserve">	Holidays</w:t>
      </w:r>
    </w:p>
    <w:p>
      <w:pPr>
        <w:tabs>
          <w:tab w:val="left" w:pos="720"/>
        </w:tabs>
        <w:spacing w:after="100" w:line="276"/>
        <w:ind w:left="720" w:hanging="720"/>
      </w:pPr>
      <w:r>
        <w:t xml:space="preserve">8.1	</w:t>
      </w:r>
      <w:r>
        <w:t xml:space="preserve">The Executive is entitled to 28 working days’ paid holiday in each holiday year (1 January to 31 December) in addition to public holidays in England. On termination, the Executive is entitled to pay in lieu of accrued but untaken holiday and shall repay holiday taken in excess of entitlement.</w:t>
      </w:r>
    </w:p>
    <w:p>
      <w:pPr>
        <w:tabs>
          <w:tab w:val="left" w:pos="720"/>
        </w:tabs>
        <w:spacing w:after="80" w:before="200"/>
      </w:pPr>
      <w:r>
        <w:rPr>
          <w:b/>
          <w:bCs/>
        </w:rPr>
        <w:t xml:space="preserve">9.</w:t>
      </w:r>
      <w:r>
        <w:rPr>
          <w:b/>
          <w:bCs/>
        </w:rPr>
        <w:t xml:space="preserve">	Sickness</w:t>
      </w:r>
    </w:p>
    <w:p>
      <w:pPr>
        <w:tabs>
          <w:tab w:val="left" w:pos="720"/>
        </w:tabs>
        <w:spacing w:after="100" w:line="276"/>
        <w:ind w:left="720" w:hanging="720"/>
      </w:pPr>
      <w:r>
        <w:t xml:space="preserve">9.1	</w:t>
      </w:r>
      <w:r>
        <w:t xml:space="preserve">If the Executive is absent due to sickness or injury they shall be paid full salary for up to 13 weeks in any period of 12 months, inclusive of statutory sick pay, after which payment is at the Company’s discretion and subject to the rules of any permanent health insurance scheme.</w:t>
      </w:r>
    </w:p>
    <w:p>
      <w:pPr>
        <w:tabs>
          <w:tab w:val="left" w:pos="720"/>
        </w:tabs>
        <w:spacing w:after="80" w:before="200"/>
      </w:pPr>
      <w:r>
        <w:rPr>
          <w:b/>
          <w:bCs/>
        </w:rPr>
        <w:t xml:space="preserve">10.</w:t>
      </w:r>
      <w:r>
        <w:rPr>
          <w:b/>
          <w:bCs/>
        </w:rPr>
        <w:t xml:space="preserve">	Confidential information</w:t>
      </w:r>
    </w:p>
    <w:p>
      <w:pPr>
        <w:tabs>
          <w:tab w:val="left" w:pos="720"/>
        </w:tabs>
        <w:spacing w:after="100" w:line="276"/>
        <w:ind w:left="720" w:hanging="720"/>
      </w:pPr>
      <w:r>
        <w:t xml:space="preserve">10.1	</w:t>
      </w:r>
      <w:r>
        <w:t xml:space="preserve">The Executive shall not, during employment or afterwards, use or disclose to any person any Confidential Information, except in the proper performance of their duties or as required by law. All notes, documents and records (in whatever medium) relating to the business of the Company are the property of the Company and shall be returned on termination.</w:t>
      </w:r>
    </w:p>
    <w:p>
      <w:pPr>
        <w:tabs>
          <w:tab w:val="left" w:pos="720"/>
        </w:tabs>
        <w:spacing w:after="80" w:before="200"/>
      </w:pPr>
      <w:r>
        <w:rPr>
          <w:b/>
          <w:bCs/>
        </w:rPr>
        <w:t xml:space="preserve">11.</w:t>
      </w:r>
      <w:r>
        <w:rPr>
          <w:b/>
          <w:bCs/>
        </w:rPr>
        <w:t xml:space="preserve">	Intellectual property</w:t>
      </w:r>
    </w:p>
    <w:p>
      <w:pPr>
        <w:tabs>
          <w:tab w:val="left" w:pos="720"/>
        </w:tabs>
        <w:spacing w:after="100" w:line="276"/>
        <w:ind w:left="720" w:hanging="720"/>
      </w:pPr>
      <w:r>
        <w:t xml:space="preserve">11.1	</w:t>
      </w:r>
      <w:r>
        <w:t xml:space="preserve">All intellectual property rights created by the Executive in the course of employment shall belong to the Company. The Executive shall, at the Company’s expense, do all acts necessary to vest such rights in the Company.</w:t>
      </w:r>
    </w:p>
    <w:p>
      <w:pPr>
        <w:tabs>
          <w:tab w:val="left" w:pos="720"/>
        </w:tabs>
        <w:spacing w:after="80" w:before="200"/>
      </w:pPr>
      <w:r>
        <w:rPr>
          <w:b/>
          <w:bCs/>
        </w:rPr>
        <w:t xml:space="preserve">12.</w:t>
      </w:r>
      <w:r>
        <w:rPr>
          <w:b/>
          <w:bCs/>
        </w:rPr>
        <w:t xml:space="preserve">	Post-termination restrictions</w:t>
      </w:r>
    </w:p>
    <w:p>
      <w:pPr>
        <w:tabs>
          <w:tab w:val="left" w:pos="720"/>
        </w:tabs>
        <w:spacing w:after="100" w:line="276"/>
        <w:ind w:left="720" w:hanging="720"/>
      </w:pPr>
      <w:r>
        <w:t xml:space="preserve">12.1	</w:t>
      </w:r>
      <w:r>
        <w:t xml:space="preserve">In order to protect the Company’s legitimate business interests, the Executive covenants that they shall not, for the periods set out below following the Termination Date:</w:t>
      </w:r>
    </w:p>
    <w:p>
      <w:pPr>
        <w:tabs>
          <w:tab w:val="left" w:pos="720"/>
        </w:tabs>
        <w:spacing w:after="100" w:line="276"/>
        <w:ind w:left="720" w:hanging="720"/>
      </w:pPr>
      <w:r>
        <w:t xml:space="preserve">12.1.1	</w:t>
      </w:r>
      <w:r>
        <w:t xml:space="preserve">for 9 months, be employed or engaged in any business that competes with the Restricted Business within the Restricted Territory;</w:t>
      </w:r>
    </w:p>
    <w:p>
      <w:pPr>
        <w:tabs>
          <w:tab w:val="left" w:pos="720"/>
        </w:tabs>
        <w:spacing w:after="100" w:line="276"/>
        <w:ind w:left="720" w:hanging="720"/>
      </w:pPr>
      <w:r>
        <w:t xml:space="preserve">12.1.2	</w:t>
      </w:r>
      <w:r>
        <w:t xml:space="preserve">for 9 months, solicit or entice away any Restricted Customer with whom the Executive had material dealings in the 12 months before the Termination Date;</w:t>
      </w:r>
    </w:p>
    <w:p>
      <w:pPr>
        <w:tabs>
          <w:tab w:val="left" w:pos="720"/>
        </w:tabs>
        <w:spacing w:after="100" w:line="276"/>
        <w:ind w:left="720" w:hanging="720"/>
      </w:pPr>
      <w:r>
        <w:t xml:space="preserve">12.1.3	</w:t>
      </w:r>
      <w:r>
        <w:t xml:space="preserve">for 6 months, solicit or employ any senior employee of the Company with whom the Executive worked in the 12 months before the Termination Date.</w:t>
      </w:r>
    </w:p>
    <w:p>
      <w:pPr>
        <w:tabs>
          <w:tab w:val="left" w:pos="720"/>
        </w:tabs>
        <w:spacing w:after="100" w:line="276"/>
        <w:ind w:left="720" w:hanging="720"/>
      </w:pPr>
      <w:r>
        <w:t xml:space="preserve">12.2	</w:t>
      </w:r>
      <w:r>
        <w:t xml:space="preserve">Each restriction is a separate and severable undertaking, considered by the parties to be reasonable and necessary to protect the Company’s goodwill, trade connections and confidential information.</w:t>
      </w:r>
    </w:p>
    <w:p>
      <w:pPr>
        <w:tabs>
          <w:tab w:val="left" w:pos="720"/>
        </w:tabs>
        <w:spacing w:after="80" w:before="200"/>
      </w:pPr>
      <w:r>
        <w:rPr>
          <w:b/>
          <w:bCs/>
        </w:rPr>
        <w:t xml:space="preserve">13.</w:t>
      </w:r>
      <w:r>
        <w:rPr>
          <w:b/>
          <w:bCs/>
        </w:rPr>
        <w:t xml:space="preserve">	Garden leave</w:t>
      </w:r>
    </w:p>
    <w:p>
      <w:pPr>
        <w:tabs>
          <w:tab w:val="left" w:pos="720"/>
        </w:tabs>
        <w:spacing w:after="100" w:line="276"/>
        <w:ind w:left="720" w:hanging="720"/>
      </w:pPr>
      <w:r>
        <w:t xml:space="preserve">13.1	</w:t>
      </w:r>
      <w:r>
        <w:t xml:space="preserve">During any period of notice the Company may require the Executive not to attend work and to refrain from contact with customers, suppliers or employees (“garden leave”), during which the Executive shall continue to receive salary and benefits and shall remain bound by the duties of good faith and fidelity.</w:t>
      </w:r>
    </w:p>
    <w:p>
      <w:pPr>
        <w:tabs>
          <w:tab w:val="left" w:pos="720"/>
        </w:tabs>
        <w:spacing w:after="80" w:before="200"/>
      </w:pPr>
      <w:r>
        <w:rPr>
          <w:b/>
          <w:bCs/>
        </w:rPr>
        <w:t xml:space="preserve">14.</w:t>
      </w:r>
      <w:r>
        <w:rPr>
          <w:b/>
          <w:bCs/>
        </w:rPr>
        <w:t xml:space="preserve">	Termination</w:t>
      </w:r>
    </w:p>
    <w:p>
      <w:pPr>
        <w:tabs>
          <w:tab w:val="left" w:pos="720"/>
        </w:tabs>
        <w:spacing w:after="100" w:line="276"/>
        <w:ind w:left="720" w:hanging="720"/>
      </w:pPr>
      <w:r>
        <w:t xml:space="preserve">14.1	</w:t>
      </w:r>
      <w:r>
        <w:t xml:space="preserve">The employment may be terminated by either party giving 6 months’ written notice. The Company may, at its discretion, terminate the employment by paying a sum in lieu of notice equal to basic salary only for the unexpired period of notice (a “PILON”).</w:t>
      </w:r>
    </w:p>
    <w:p>
      <w:pPr>
        <w:tabs>
          <w:tab w:val="left" w:pos="720"/>
        </w:tabs>
        <w:spacing w:after="100" w:line="276"/>
        <w:ind w:left="720" w:hanging="720"/>
      </w:pPr>
      <w:r>
        <w:t xml:space="preserve">14.2	</w:t>
      </w:r>
      <w:r>
        <w:t xml:space="preserve">The Company may terminate the employment immediately without notice or payment in lieu if the Executive is guilty of gross misconduct or commits a serious or repeated breach of this Agreement.</w:t>
      </w:r>
    </w:p>
    <w:p>
      <w:pPr>
        <w:tabs>
          <w:tab w:val="left" w:pos="720"/>
        </w:tabs>
        <w:spacing w:after="80" w:before="200"/>
      </w:pPr>
      <w:r>
        <w:rPr>
          <w:b/>
          <w:bCs/>
        </w:rPr>
        <w:t xml:space="preserve">15.</w:t>
      </w:r>
      <w:r>
        <w:rPr>
          <w:b/>
          <w:bCs/>
        </w:rPr>
        <w:t xml:space="preserve">	Governing law and jurisdiction</w:t>
      </w:r>
    </w:p>
    <w:p>
      <w:pPr>
        <w:tabs>
          <w:tab w:val="left" w:pos="720"/>
        </w:tabs>
        <w:spacing w:after="100" w:line="276"/>
        <w:ind w:left="720" w:hanging="720"/>
      </w:pPr>
      <w:r>
        <w:t xml:space="preserve">15.1	</w:t>
      </w:r>
      <w:r>
        <w:t xml:space="preserve">This Agreement is governed by the law of England and Wales and the parties submit to the exclusive jurisdiction of the courts and Employment Tribunals of England and Wales.</w:t>
      </w:r>
    </w:p>
    <w:p>
      <w:pPr>
        <w:spacing w:after="200" w:line="276"/>
      </w:pPr>
      <w:r>
        <w:rPr>
          <w:b/>
          <w:bCs/>
        </w:rPr>
        <w:t xml:space="preserve">IN WITNESS</w:t>
      </w:r>
      <w:r>
        <w:t xml:space="preserve"> whereof this Agreement has been executed and delivered as a deed on the date first written above.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4680"/>
        <w:gridCol w:w="4680"/>
      </w:tblGrid>
      <w:tr>
        <w:trPr>
          <w:tblHeader w:val="false"/>
        </w:trPr>
        <w:tc>
          <w:tcPr>
            <w:tcW w:type="dxa" w:w="4680"/>
            <w:tcMar>
              <w:top w:type="dxa" w:w="60"/>
              <w:left w:type="dxa" w:w="100"/>
              <w:bottom w:type="dxa" w:w="60"/>
              <w:right w:type="dxa" w:w="100"/>
            </w:tcMar>
          </w:tcPr>
          <w:p>
            <w:pPr>
              <w:spacing w:after="0" w:line="264"/>
              <w:jc w:val="left"/>
            </w:pPr>
            <w:r>
              <w:rPr>
                <w:b w:val="false"/>
                <w:bCs w:val="false"/>
                <w:sz w:val="20"/>
                <w:szCs w:val="20"/>
              </w:rPr>
              <w:t xml:space="preserve">Signed for and on behalf of CALVERTON INDUSTRIES LIMITED</w:t>
            </w:r>
          </w:p>
        </w:tc>
        <w:tc>
          <w:tcPr>
            <w:tcW w:type="dxa" w:w="4680"/>
            <w:tcMar>
              <w:top w:type="dxa" w:w="60"/>
              <w:left w:type="dxa" w:w="100"/>
              <w:bottom w:type="dxa" w:w="60"/>
              <w:right w:type="dxa" w:w="100"/>
            </w:tcMar>
          </w:tcPr>
          <w:p>
            <w:pPr>
              <w:spacing w:after="0" w:line="264"/>
              <w:jc w:val="left"/>
            </w:pPr>
            <w:r>
              <w:rPr>
                <w:b w:val="false"/>
                <w:bCs w:val="false"/>
                <w:sz w:val="20"/>
                <w:szCs w:val="20"/>
              </w:rPr>
              <w:t xml:space="preserve">Signed by the EXECUTIVE</w:t>
            </w:r>
          </w:p>
        </w:tc>
      </w:tr>
      <w:tr>
        <w:trPr>
          <w:tblHeader w:val="false"/>
        </w:trPr>
        <w:tc>
          <w:tcPr>
            <w:tcW w:type="dxa" w:w="4680"/>
            <w:tcMar>
              <w:top w:type="dxa" w:w="60"/>
              <w:left w:type="dxa" w:w="100"/>
              <w:bottom w:type="dxa" w:w="60"/>
              <w:right w:type="dxa" w:w="100"/>
            </w:tcMar>
          </w:tcPr>
          <w:p>
            <w:pPr>
              <w:spacing w:after="0" w:line="264"/>
              <w:jc w:val="left"/>
            </w:pPr>
            <w:r>
              <w:rPr>
                <w:b w:val="false"/>
                <w:bCs w:val="false"/>
                <w:sz w:val="20"/>
                <w:szCs w:val="20"/>
              </w:rPr>
              <w:t xml:space="preserve">
_____________________________
Director</w:t>
            </w:r>
          </w:p>
        </w:tc>
        <w:tc>
          <w:tcPr>
            <w:tcW w:type="dxa" w:w="4680"/>
            <w:tcMar>
              <w:top w:type="dxa" w:w="60"/>
              <w:left w:type="dxa" w:w="100"/>
              <w:bottom w:type="dxa" w:w="60"/>
              <w:right w:type="dxa" w:w="100"/>
            </w:tcMar>
          </w:tcPr>
          <w:p>
            <w:pPr>
              <w:spacing w:after="0" w:line="264"/>
              <w:jc w:val="left"/>
            </w:pPr>
            <w:r>
              <w:rPr>
                <w:b w:val="false"/>
                <w:bCs w:val="false"/>
                <w:sz w:val="20"/>
                <w:szCs w:val="20"/>
              </w:rPr>
              <w:t xml:space="preserve">
_____________________________
Imran Rashid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pPr>
    <w:r>
      <w:rPr>
        <w:color w:val="808080"/>
        <w:sz w:val="14"/>
        <w:szCs w:val="14"/>
      </w:rPr>
      <w:t xml:space="preserve">Whitfield Carter LLP is a limited liability partnership registered in England and Wales (OC#### ).  Confidential and may be legally privileged.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6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 — Rashid</dc:title>
  <dc:creator>Whitfield Carter LLP</dc:creator>
  <cp:lastModifiedBy>Un-named</cp:lastModifiedBy>
  <cp:revision>1</cp:revision>
  <dcterms:created xsi:type="dcterms:W3CDTF">2026-06-26T01:48:44.813Z</dcterms:created>
  <dcterms:modified xsi:type="dcterms:W3CDTF">2026-06-26T01:48:44.813Z</dcterms:modified>
</cp:coreProperties>
</file>

<file path=docProps/custom.xml><?xml version="1.0" encoding="utf-8"?>
<Properties xmlns="http://schemas.openxmlformats.org/officeDocument/2006/custom-properties" xmlns:vt="http://schemas.openxmlformats.org/officeDocument/2006/docPropsVTypes"/>
</file>