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b/>
          <w:bCs/>
          <w:color w:val="C00000"/>
          <w:sz w:val="18"/>
          <w:szCs w:val="18"/>
        </w:rPr>
        <w:t xml:space="preserve">PRIVILEGED &amp; CONFIDENTIAL — LEGAL ADVICE</w:t>
      </w:r>
    </w:p>
    <w:p>
      <w:pPr>
        <w:spacing w:after="160" w:before="120"/>
        <w:jc w:val="center"/>
      </w:pPr>
      <w:r>
        <w:rPr>
          <w:b/>
          <w:bCs/>
          <w:sz w:val="28"/>
          <w:szCs w:val="28"/>
        </w:rPr>
        <w:t xml:space="preserve">ADVICE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To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Sofia Trevino (General Counsel); Daniel Okonkwo (VP Commercial), Caspian Technologies Limited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James Osei, Whitfield Carter LLP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 January 2026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Matter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Brookmere MSA — key negotiated positions (WC-00184)</w:t>
            </w:r>
          </w:p>
        </w:tc>
      </w:tr>
    </w:tbl>
    <w:p>
      <w:pPr>
        <w:pStyle w:val="Heading1"/>
      </w:pPr>
      <w:r>
        <w:t xml:space="preserve">1.  Purpose</w:t>
      </w:r>
    </w:p>
    <w:p>
      <w:pPr>
        <w:spacing w:after="120"/>
      </w:pPr>
      <w:r>
        <w:t xml:space="preserve">This note summarises the principal points settled in the negotiation of the Master Subscription &amp; Data Licence Agreement with Brookmere Asset Management plc (advised by Denham Lewis LLP), and confirms our recommendation that Caspian is now in a position to execute. It should be read with the v3 redline circulated on 12 January 2026.</w:t>
      </w:r>
    </w:p>
    <w:p>
      <w:pPr>
        <w:pStyle w:val="Heading1"/>
      </w:pPr>
      <w:r>
        <w:t xml:space="preserve">2.  Liability cap — the key commercial point</w:t>
      </w:r>
    </w:p>
    <w:p>
      <w:pPr>
        <w:spacing w:after="120"/>
      </w:pPr>
      <w:r>
        <w:t xml:space="preserve">Caspian’s opening position (v1) was a cap of 100% of the Fees paid in the preceding 12 months. Denham Lewis marked this up to 300% (v2). After two calls we have settled at 150% of the trailing 12-month Fees (approximately £1.35m, being 150% of the £900,000 annual Fees under Order Form OF-2026-001 — £680,000 platform subscription plus £220,000 data licence), which we consider a good outcome and consistent with Caspian’s position on comparable enterprise deals. The carve-outs from the cap are unchanged: the Fees themselves, the IP indemnity (clause 10), confidentiality (clause 8), and unauthorised redistribution of the dataset (clause 4).</w:t>
      </w:r>
    </w:p>
    <w:p>
      <w:pPr>
        <w:pStyle w:val="Heading1"/>
      </w:pPr>
      <w:r>
        <w:t xml:space="preserve">3.  Other settled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terms: conceded from 30 to 45 days (clause 6.1). Low risk; Brookmere is investment grade.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Renewal notice: Brookmere sought 60 days; we held the original 90-day notice period (clause 13.1), which they accepted.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accuracy: Brookmere pressed for a broad accuracy warranty. We resisted any warranty as to accuracy/fitness, but accepted a narrow obligation to correct material errors in the dataset on notice, expressed as the Customer’s sole remedy (clause 9.2). This preserves the core disclaimer in clause 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levels: 99.7% uptime and the service-credit table in Schedule 2 are agreed; the 15% annual aggregate cap on credits is retained.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protection: Schedule 3 (DPA) agreed; UK hosting confirmed; sub-processor list approved.</w:t>
      </w:r>
    </w:p>
    <w:p>
      <w:pPr>
        <w:pStyle w:val="Heading1"/>
      </w:pPr>
      <w:r>
        <w:t xml:space="preserve">4.  Residual risk and recommendation</w:t>
      </w:r>
    </w:p>
    <w:p>
      <w:pPr>
        <w:spacing w:after="120"/>
      </w:pPr>
      <w:r>
        <w:t xml:space="preserve">The principal residual exposure is the 150% liability cap, which exceeds Caspian’s standard 100% but is within the range Caspian has previously accepted for accounts of this size. Subject to internal sign-off on that point by the CFO, we recommend that Caspian proceed to signature. The execution version and signature pages are ready for circulation.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James Osei</w:t>
      </w:r>
      <w:r>
        <w:t xml:space="preserve">  |  Senior Associate, Commercial  |  Whitfield Carter LLP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spacing w:after="0" w:before="60"/>
      <w:jc w:val="center"/>
    </w:pPr>
    <w:r>
      <w:rPr>
        <w:color w:val="808080"/>
        <w:sz w:val="14"/>
        <w:szCs w:val="14"/>
      </w:rPr>
      <w:t xml:space="preserve">Whitfield Carter LLP is a limited liability partnership registered in England &amp; Wales. Confidential and may be legally privileged.</w:t>
    </w:r>
  </w:p>
  <w:p>
    <w:pPr>
      <w:spacing w:after="0"/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F3864"/>
        <w:sz w:val="24"/>
        <w:szCs w:val="24"/>
      </w:rPr>
      <w:t xml:space="preserve">Whitfield Carter LLP</w:t>
    </w:r>
  </w:p>
  <w:p>
    <w:pPr>
      <w:pBdr>
        <w:bottom w:val="single" w:color="1F3864" w:sz="6" w:space="2"/>
      </w:pBdr>
      <w:spacing w:after="60"/>
      <w:jc w:val="right"/>
    </w:pPr>
    <w:r>
      <w:rPr>
        <w:color w:val="595959"/>
        <w:sz w:val="16"/>
        <w:szCs w:val="16"/>
      </w:rPr>
      <w:t xml:space="preserve">22 Bishopsgate, London EC2N 4BQ  •  www.whitfieldcarter.com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2026-06-29T17:49:32.571Z</dcterms:created>
  <dcterms:modified xsi:type="dcterms:W3CDTF">2026-06-29T17:49:32.572Z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