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b/>
          <w:bCs/>
          <w:sz w:val="18"/>
          <w:szCs w:val="18"/>
        </w:rPr>
        <w:t xml:space="preserve">PRIVATE &amp; CONFIDENTIAL</w:t>
      </w:r>
    </w:p>
    <w:p>
      <w:pPr>
        <w:spacing w:after="120"/>
      </w:pPr>
      <w:r>
        <w:t xml:space="preserve"/>
      </w:r>
    </w:p>
    <w:p>
      <w:pPr>
        <w:spacing w:after="120"/>
      </w:pPr>
      <w:r>
        <w:t xml:space="preserve">Ms Sofia Trevino</w:t>
      </w:r>
    </w:p>
    <w:p>
      <w:pPr>
        <w:spacing w:after="120"/>
      </w:pPr>
      <w:r>
        <w:t xml:space="preserve">General Counsel</w:t>
      </w:r>
    </w:p>
    <w:p>
      <w:pPr>
        <w:spacing w:after="120"/>
      </w:pPr>
      <w:r>
        <w:t xml:space="preserve">Caspian Technologies Limited</w:t>
      </w:r>
    </w:p>
    <w:p>
      <w:pPr>
        <w:spacing w:after="120"/>
      </w:pPr>
      <w:r>
        <w:t xml:space="preserve">4 Pancras Square, London N1C 4AG</w:t>
      </w:r>
    </w:p>
    <w:p>
      <w:pPr>
        <w:spacing w:after="120"/>
      </w:pPr>
      <w:r>
        <w:t xml:space="preserve"/>
      </w:r>
    </w:p>
    <w:p>
      <w:pPr>
        <w:spacing w:after="120"/>
      </w:pPr>
      <w:r>
        <w:t xml:space="preserve">13 October 2025</w:t>
      </w:r>
    </w:p>
    <w:p>
      <w:pPr>
        <w:spacing w:after="120"/>
      </w:pPr>
      <w:r>
        <w:t xml:space="preserve"/>
      </w:r>
    </w:p>
    <w:p>
      <w:pPr>
        <w:spacing w:after="120"/>
      </w:pPr>
      <w:r>
        <w:rPr>
          <w:b w:val="false"/>
          <w:bCs w:val="false"/>
        </w:rPr>
        <w:t xml:space="preserve">Dear Sofia</w:t>
      </w:r>
    </w:p>
    <w:p>
      <w:pPr>
        <w:spacing w:after="120"/>
      </w:pPr>
      <w:r>
        <w:rPr>
          <w:b/>
          <w:bCs/>
        </w:rPr>
        <w:t xml:space="preserve">Engagement: Master Subscription &amp; Data Licence Agreement with Brookmere Asset Management plc (our ref: WC-00184)</w:t>
      </w:r>
    </w:p>
    <w:p>
      <w:pPr>
        <w:spacing w:after="120"/>
      </w:pPr>
      <w:r>
        <w:t xml:space="preserve">Thank you for instructing Whitfield Carter LLP in connection with the proposed master subscription and data-licence arrangement under which Caspian Technologies Limited (“Caspian”) will supply its portfolio carbon-analytics platform and the Caspian carbon dataset to Brookmere Asset Management plc (“Brookmere”). This letter sets out the basis on which we will act.</w:t>
      </w:r>
    </w:p>
    <w:p>
      <w:pPr>
        <w:pStyle w:val="Heading2"/>
      </w:pPr>
      <w:r>
        <w:t xml:space="preserve">1.  Scope of work</w:t>
      </w:r>
    </w:p>
    <w:p>
      <w:pPr>
        <w:spacing w:after="120"/>
      </w:pPr>
      <w:r>
        <w:t xml:space="preserve">We will advise Caspian on the negotiation, drafting and settlement of the master subscription agreement (the “MSA”) and its schedules, including the order form, service-level agreement, data-processing agreement and data-licence terms. Our scope covers:</w:t>
      </w:r>
    </w:p>
    <w:p>
      <w:pPr>
        <w:pStyle w:val="ListParagraph"/>
        <w:numPr>
          <w:ilvl w:val="0"/>
          <w:numId w:val="2"/>
        </w:numPr>
        <w:spacing w:after="80"/>
      </w:pPr>
      <w:r>
        <w:t xml:space="preserve">preparing the first full draft of the MSA and schedules on Caspian’s standard commercial terms, adjusted for this engagement;</w:t>
      </w:r>
    </w:p>
    <w:p>
      <w:pPr>
        <w:pStyle w:val="ListParagraph"/>
        <w:numPr>
          <w:ilvl w:val="0"/>
          <w:numId w:val="2"/>
        </w:numPr>
        <w:spacing w:after="80"/>
      </w:pPr>
      <w:r>
        <w:t xml:space="preserve">reviewing and responding to mark-ups received from Brookmere’s advisers, Denham Lewis LLP;</w:t>
      </w:r>
    </w:p>
    <w:p>
      <w:pPr>
        <w:pStyle w:val="ListParagraph"/>
        <w:numPr>
          <w:ilvl w:val="0"/>
          <w:numId w:val="2"/>
        </w:numPr>
        <w:spacing w:after="80"/>
      </w:pPr>
      <w:r>
        <w:t xml:space="preserve">advising on liability, indemnity, data-protection and intellectual-property positions; and</w:t>
      </w:r>
    </w:p>
    <w:p>
      <w:pPr>
        <w:pStyle w:val="ListParagraph"/>
        <w:numPr>
          <w:ilvl w:val="0"/>
          <w:numId w:val="2"/>
        </w:numPr>
        <w:spacing w:after="80"/>
      </w:pPr>
      <w:r>
        <w:t xml:space="preserve">assisting with execution and the production of an execution version and signature pack.</w:t>
      </w:r>
    </w:p>
    <w:p>
      <w:pPr>
        <w:spacing w:after="120"/>
      </w:pPr>
      <w:r>
        <w:t xml:space="preserve">Our scope does not include tax structuring, regulatory advice on Brookmere’s own FCA obligations, or advice on the law of any jurisdiction other than England and Wales, unless separately agreed in writing.</w:t>
      </w:r>
    </w:p>
    <w:p>
      <w:pPr>
        <w:pStyle w:val="Heading2"/>
      </w:pPr>
      <w:r>
        <w:t xml:space="preserve">2.  Our team and rates</w:t>
      </w:r>
    </w:p>
    <w:p>
      <w:pPr>
        <w:spacing w:after="120"/>
      </w:pPr>
      <w:r>
        <w:t xml:space="preserve">The matter will be led by James Osei (Senior Associate, Commercial), supported by Elena Marchetti (Associate). I, Sarah Whitfield, will maintain partner oversight. Our hourly rates for this engagement are: Partner £680; Senior Associate £460; Associate £320 (each exclusive of VAT).</w:t>
      </w:r>
    </w:p>
    <w:p>
      <w:pPr>
        <w:pStyle w:val="Heading2"/>
      </w:pPr>
      <w:r>
        <w:t xml:space="preserve">3.  Fee estimate</w:t>
      </w:r>
    </w:p>
    <w:p>
      <w:pPr>
        <w:spacing w:after="120"/>
      </w:pPr>
      <w:r>
        <w:t xml:space="preserve">Based on a single-counterparty negotiation of this kind, we estimate our fees for the MSA negotiation to completion at between £28,000 and £38,000 plus VAT and disbursements. We will notify you promptly if it appears our fees are likely to exceed the top of that range.</w:t>
      </w:r>
    </w:p>
    <w:p>
      <w:pPr>
        <w:pStyle w:val="Heading2"/>
      </w:pPr>
      <w:r>
        <w:t xml:space="preserve">4.  Terms of business</w:t>
      </w:r>
    </w:p>
    <w:p>
      <w:pPr>
        <w:spacing w:after="120"/>
      </w:pPr>
      <w:r>
        <w:t xml:space="preserve">Our standard terms of business (enclosed) apply to this engagement. Please note in particular the provisions relating to our limitation of liability, billing and the handling of client confidential information. Nothing in this letter or our terms limits our liability for fraud or for any other liability that cannot lawfully be limited.</w:t>
      </w:r>
    </w:p>
    <w:p>
      <w:pPr>
        <w:pStyle w:val="Heading2"/>
      </w:pPr>
      <w:r>
        <w:t xml:space="preserve">5.  Confidentiality and conflicts</w:t>
      </w:r>
    </w:p>
    <w:p>
      <w:pPr>
        <w:spacing w:after="120"/>
      </w:pPr>
      <w:r>
        <w:t xml:space="preserve">We have carried out a conflicts check and identified no conflict that prevents us acting. We will keep Caspian’s information confidential in accordance with our professional obligations and our terms of business.</w:t>
      </w:r>
    </w:p>
    <w:p>
      <w:pPr>
        <w:spacing w:after="120"/>
      </w:pPr>
      <w:r>
        <w:t xml:space="preserve">If the terms set out above are acceptable, please countersign and return the enclosed copy of this letter. We are very pleased to be acting for Caspian on this matter.</w:t>
      </w:r>
    </w:p>
    <w:p>
      <w:pPr>
        <w:spacing w:after="120"/>
      </w:pPr>
      <w:r>
        <w:t xml:space="preserve"/>
      </w:r>
    </w:p>
    <w:p>
      <w:pPr>
        <w:spacing w:after="120"/>
      </w:pPr>
      <w:r>
        <w:t xml:space="preserve">Yours sincerely</w:t>
      </w:r>
    </w:p>
    <w:p>
      <w:pPr>
        <w:spacing w:after="120"/>
      </w:pPr>
      <w:r>
        <w:t xml:space="preserve"/>
      </w:r>
    </w:p>
    <w:p>
      <w:pPr>
        <w:spacing w:after="120"/>
      </w:pPr>
      <w:r>
        <w:rPr>
          <w:b/>
          <w:bCs/>
        </w:rPr>
        <w:t xml:space="preserve">Sarah Whitfield</w:t>
      </w:r>
    </w:p>
    <w:p>
      <w:pPr>
        <w:spacing w:after="120"/>
      </w:pPr>
      <w:r>
        <w:t xml:space="preserve">Partner, Whitfield Carter LLP</w:t>
      </w:r>
    </w:p>
    <w:p>
      <w:pPr>
        <w:spacing w:after="120"/>
      </w:pPr>
      <w:r>
        <w:t xml:space="preserve">sarah.whitfield@whitfieldcarter.com  |  +44 (0)20 7946 0112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after="0" w:before="60"/>
      <w:jc w:val="center"/>
    </w:pPr>
    <w:r>
      <w:rPr>
        <w:color w:val="808080"/>
        <w:sz w:val="14"/>
        <w:szCs w:val="14"/>
      </w:rPr>
      <w:t xml:space="preserve">Whitfield Carter LLP is a limited liability partnership registered in England &amp; Wales. Confidential and may be legally privileged.</w:t>
    </w:r>
  </w:p>
  <w:p>
    <w:pPr>
      <w:spacing w:after="0"/>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4"/>
        <w:szCs w:val="24"/>
      </w:rPr>
      <w:t xml:space="preserve">Whitfield Carter LLP</w:t>
    </w:r>
  </w:p>
  <w:p>
    <w:pPr>
      <w:pBdr>
        <w:bottom w:val="single" w:color="1F3864" w:sz="6" w:space="2"/>
      </w:pBdr>
      <w:spacing w:after="60"/>
      <w:jc w:val="right"/>
    </w:pPr>
    <w:r>
      <w:rPr>
        <w:color w:val="595959"/>
        <w:sz w:val="16"/>
        <w:szCs w:val="16"/>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2026-06-29T17:42:11.839Z</dcterms:created>
  <dcterms:modified xsi:type="dcterms:W3CDTF">2026-06-29T17:42:11.840Z</dcterms:modified>
</cp:coreProperties>
</file>

<file path=docProps/custom.xml><?xml version="1.0" encoding="utf-8"?>
<Properties xmlns="http://schemas.openxmlformats.org/officeDocument/2006/custom-properties" xmlns:vt="http://schemas.openxmlformats.org/officeDocument/2006/docPropsVTypes"/>
</file>