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ORDER FORM</w:t>
      </w:r>
    </w:p>
    <w:p>
      <w:pPr>
        <w:spacing w:after="200"/>
        <w:jc w:val="center"/>
      </w:pPr>
      <w:r>
        <w:rPr>
          <w:sz w:val="22"/>
          <w:szCs w:val="22"/>
        </w:rPr>
        <w:t xml:space="preserve">to the Master Subscription &amp; Data Licence Agreement</w:t>
      </w:r>
    </w:p>
    <w:p>
      <w:pPr>
        <w:spacing w:after="120"/>
      </w:pPr>
      <w:r>
        <w:rPr>
          <w:b/>
          <w:bCs/>
        </w:rPr>
        <w:t xml:space="preserve">This Order Form</w:t>
      </w:r>
      <w:r>
        <w:t xml:space="preserve"> is entered into under and forms part of the Master Subscription &amp; Data Licence Agreement dated 23 January 2026 between Caspian Technologies Limited (“Caspian”) and Brookmere Asset Management plc (“Customer”) (the “Agreement”). Capitalised terms not defined here have the meaning given in the Agreement.</w:t>
      </w:r>
    </w:p>
    <w:p>
      <w:pPr>
        <w:pStyle w:val="Heading2"/>
      </w:pPr>
      <w:r>
        <w:t xml:space="preserve">Order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Order Form number</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OF-2026-001</w:t>
            </w:r>
          </w:p>
        </w:tc>
      </w:tr>
      <w:tr>
        <w:tc>
          <w:tcPr>
            <w:tcW w:type="dxa" w:w="310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Order Form Effective Date</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1 February 2026</w:t>
            </w:r>
          </w:p>
        </w:tc>
      </w:tr>
      <w:tr>
        <w:tc>
          <w:tcPr>
            <w:tcW w:type="dxa" w:w="310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Initial Subscription Term</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Three (3) years from the Order Form Effective Date</w:t>
            </w:r>
          </w:p>
        </w:tc>
      </w:tr>
      <w:tr>
        <w:tc>
          <w:tcPr>
            <w:tcW w:type="dxa" w:w="310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Renewal</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Successive 12-month periods unless either party gives 90 days’ written notice (clause 13.2)</w:t>
            </w:r>
          </w:p>
        </w:tc>
      </w:tr>
      <w:tr>
        <w:tc>
          <w:tcPr>
            <w:tcW w:type="dxa" w:w="310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Authorised Users</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Up to 120 Named Users</w:t>
            </w:r>
          </w:p>
        </w:tc>
      </w:tr>
      <w:tr>
        <w:tc>
          <w:tcPr>
            <w:tcW w:type="dxa" w:w="310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Permitted Purpose</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Internal portfolio carbon measurement, reporting and TCFD/ISSB-aligned disclosure across Customer’s managed funds</w:t>
            </w:r>
          </w:p>
        </w:tc>
      </w:tr>
    </w:tbl>
    <w:p>
      <w:pPr>
        <w:pStyle w:val="Heading2"/>
      </w:pPr>
      <w:r>
        <w:t xml:space="preserve">Subscribed services and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Item</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Annual fee (£)</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Notes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Caspian Analytics Platform – Enterprise (120 Named Users)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rPr>
              <w:t xml:space="preserve">680,000</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Hosted SaaS; includes API access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Caspian Carbon Dataset – Institutional Licence</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b w:val="false"/>
                <w:bCs w:val="false"/>
              </w:rPr>
              <w:t xml:space="preserve">220,000</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Emissions-factor &amp; issuer dataset</w:t>
            </w:r>
          </w:p>
        </w:tc>
      </w:tr>
      <w:tr>
        <w:tc>
          <w:tcPr>
            <w:tcW w:type="dxa" w:w="420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Total annual fee</w:t>
            </w:r>
          </w:p>
        </w:tc>
        <w:tc>
          <w:tcPr>
            <w:tcW w:type="dxa" w:w="258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right"/>
            </w:pPr>
            <w:r>
              <w:rPr>
                <w:b/>
                <w:bCs/>
              </w:rPr>
              <w:t xml:space="preserve">900,000</w:t>
            </w:r>
          </w:p>
        </w:tc>
        <w:tc>
          <w:tcPr>
            <w:tcW w:type="dxa" w:w="258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val="false"/>
                <w:bCs w:val="false"/>
              </w:rPr>
              <w:t xml:space="preserve">Exclusive of VAT</w:t>
            </w:r>
          </w:p>
        </w:tc>
      </w:tr>
    </w:tbl>
    <w:p>
      <w:pPr>
        <w:spacing w:after="120"/>
      </w:pPr>
      <w:r>
        <w:t xml:space="preserve"/>
      </w:r>
    </w:p>
    <w:p>
      <w:pPr>
        <w:spacing w:after="120"/>
      </w:pPr>
      <w:r>
        <w:rPr>
          <w:b/>
          <w:bCs/>
        </w:rPr>
        <w:t xml:space="preserve">Fee escalation: </w:t>
      </w:r>
      <w:r>
        <w:t xml:space="preserve">From the start of the second Renewal Period, fees may be increased once per year by the lesser of (a) 4% and (b) the percentage increase in the UK Consumer Prices Index (CPI) over the preceding 12 months.</w:t>
      </w:r>
    </w:p>
    <w:p>
      <w:pPr>
        <w:spacing w:after="120"/>
      </w:pPr>
      <w:r>
        <w:rPr>
          <w:b/>
          <w:bCs/>
        </w:rPr>
        <w:t xml:space="preserve">Payment terms: </w:t>
      </w:r>
      <w:r>
        <w:t xml:space="preserve">Annually in advance; invoices payable within 30 days of the date of invoice (clause 6).</w:t>
      </w:r>
    </w:p>
    <w:p>
      <w:pPr>
        <w:spacing w:after="120"/>
      </w:pPr>
      <w:r>
        <w:rPr>
          <w:b/>
          <w:bCs/>
        </w:rPr>
        <w:t xml:space="preserve">Service levels: </w:t>
      </w:r>
      <w:r>
        <w:t xml:space="preserve">As set out in Schedule 2 (Service Level Agreement), including a Monthly Uptime Commitment of 99.7%.</w:t>
      </w:r>
    </w:p>
    <w:p>
      <w:pPr>
        <w:pStyle w:val="Heading2"/>
      </w:pPr>
      <w:r>
        <w:t xml:space="preserve">Signed for and on behalf of the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CASPIAN TECHNOLOGIES LIMITED</w:t>
            </w:r>
          </w:p>
          <w:p>
            <w:r>
              <w:t xml:space="preserve">Name: Daniel Okonkwo</w:t>
            </w:r>
          </w:p>
          <w:p>
            <w:r>
              <w:t xml:space="preserve">Title: VP Commercial</w:t>
            </w:r>
          </w:p>
          <w:p>
            <w:r>
              <w:t xml:space="preserve">Date: 23 January 2026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BROOKMERE ASSET MANAGEMENT PLC</w:t>
            </w:r>
          </w:p>
          <w:p>
            <w:r>
              <w:t xml:space="preserve">Name: Eleanor Whitford</w:t>
            </w:r>
          </w:p>
          <w:p>
            <w:r>
              <w:t xml:space="preserve">Title: Chief Operating Officer</w:t>
            </w:r>
          </w:p>
          <w:p>
            <w:r>
              <w:t xml:space="preserve">Date: 23 January 2026</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60"/>
      <w:jc w:val="center"/>
    </w:pPr>
    <w:r>
      <w:rPr>
        <w:color w:val="808080"/>
        <w:sz w:val="14"/>
        <w:szCs w:val="14"/>
      </w:rPr>
      <w:t xml:space="preserve">Whitfield Carter LLP is a limited liability partnership registered in England &amp; Wales.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2026-06-29T17:42:11.889Z</dcterms:created>
  <dcterms:modified xsi:type="dcterms:W3CDTF">2026-06-29T17:42:11.889Z</dcterms:modified>
</cp:coreProperties>
</file>

<file path=docProps/custom.xml><?xml version="1.0" encoding="utf-8"?>
<Properties xmlns="http://schemas.openxmlformats.org/officeDocument/2006/custom-properties" xmlns:vt="http://schemas.openxmlformats.org/officeDocument/2006/docPropsVTypes"/>
</file>