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SCHEDULE 2</w:t>
      </w:r>
    </w:p>
    <w:p>
      <w:pPr>
        <w:spacing w:after="200"/>
        <w:jc w:val="center"/>
      </w:pPr>
      <w:r>
        <w:rPr>
          <w:b/>
          <w:bCs/>
          <w:sz w:val="24"/>
          <w:szCs w:val="24"/>
        </w:rPr>
        <w:t xml:space="preserve">SERVICE LEVEL AGREEMENT</w:t>
      </w:r>
    </w:p>
    <w:p>
      <w:pPr>
        <w:spacing w:after="120"/>
      </w:pPr>
      <w:r>
        <w:t xml:space="preserve">This Service Level Agreement (this “SLA”) forms part of the Master Subscription &amp; Data Licence Agreement between Caspian Technologies Limited (“Caspian”) and Brookmere Asset Management plc (the “Customer”). In the event of conflict between this SLA and the body of the Agreement, the body of the Agreement prevails save in respect of the service-level commitments and service-credit mechanics, which are governed by this SLA.</w:t>
      </w:r>
    </w:p>
    <w:p>
      <w:pPr>
        <w:pStyle w:val="Heading1"/>
      </w:pPr>
      <w:r>
        <w:t xml:space="preserve">1.  Definitions</w:t>
      </w:r>
    </w:p>
    <w:p>
      <w:pPr>
        <w:spacing w:after="120"/>
      </w:pPr>
      <w:r>
        <w:rPr>
          <w:b/>
          <w:bCs/>
        </w:rPr>
        <w:t xml:space="preserve">“Available”</w:t>
      </w:r>
      <w:r>
        <w:t xml:space="preserve"> means the Platform is accessible and materially performs in accordance with the Documentation, measured at the cloud load-balancer.</w:t>
      </w:r>
    </w:p>
    <w:p>
      <w:pPr>
        <w:spacing w:after="120"/>
      </w:pPr>
      <w:r>
        <w:rPr>
          <w:b/>
          <w:bCs/>
        </w:rPr>
        <w:t xml:space="preserve">“Monthly Uptime Percentage”</w:t>
      </w:r>
      <w:r>
        <w:t xml:space="preserve"> means, for any calendar month, (Total Minutes − Downtime Minutes) ÷ Total Minutes, expressed as a percentage, excluding Excused Downtime.</w:t>
      </w:r>
    </w:p>
    <w:p>
      <w:pPr>
        <w:spacing w:after="120"/>
      </w:pPr>
      <w:r>
        <w:rPr>
          <w:b/>
          <w:bCs/>
        </w:rPr>
        <w:t xml:space="preserve">“Excused Downtime”</w:t>
      </w:r>
      <w:r>
        <w:t xml:space="preserve"> means downtime caused by Scheduled Maintenance, Emergency Maintenance notified under paragraph 3, a Force Majeure Event, or the Customer’s own systems or misuse.</w:t>
      </w:r>
    </w:p>
    <w:p>
      <w:pPr>
        <w:spacing w:after="120"/>
      </w:pPr>
      <w:r>
        <w:rPr>
          <w:b/>
          <w:bCs/>
        </w:rPr>
        <w:t xml:space="preserve">“Priority 1 / P1”</w:t>
      </w:r>
      <w:r>
        <w:t xml:space="preserve"> means the Platform is wholly unavailable or a critical function (data ingestion, portfolio calculation or reporting export) is inoperable for all Authorised Users.</w:t>
      </w:r>
    </w:p>
    <w:p>
      <w:pPr>
        <w:pStyle w:val="Heading1"/>
      </w:pPr>
      <w:r>
        <w:t xml:space="preserve">2.  Availability commitment</w:t>
      </w:r>
    </w:p>
    <w:p>
      <w:pPr>
        <w:spacing w:after="120"/>
      </w:pPr>
      <w:r>
        <w:t xml:space="preserve">Caspian commits to a Monthly Uptime Percentage of at least 99.7% (the “Uptime Commitment”). Caspian will measure availability using its monitoring systems; reports are made available to the Customer monthly through the service portal.</w:t>
      </w:r>
    </w:p>
    <w:p>
      <w:pPr>
        <w:pStyle w:val="Heading1"/>
      </w:pPr>
      <w:r>
        <w:t xml:space="preserve">3.  Maintenance</w:t>
      </w:r>
    </w:p>
    <w:p>
      <w:pPr>
        <w:spacing w:after="120"/>
      </w:pPr>
      <w:r>
        <w:t xml:space="preserve">Scheduled Maintenance is performed within the standard window of 22:00–02:00 UK time on Sundays, on not less than five (5) Business Days’ notice, and does not count as Downtime. Emergency Maintenance may be performed on shorter notice where reasonably necessary to preserve security or integrity; Caspian will give as much notice as is practicable.</w:t>
      </w:r>
    </w:p>
    <w:p>
      <w:pPr>
        <w:pStyle w:val="Heading1"/>
      </w:pPr>
      <w:r>
        <w:t xml:space="preserve">4.  Support and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840"/>
        <w:gridCol w:w="1840"/>
      </w:tblGrid>
      <w:tr>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Priority</w:t>
            </w:r>
          </w:p>
        </w:tc>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Description</w:t>
            </w:r>
          </w:p>
        </w:tc>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Target response</w:t>
            </w:r>
          </w:p>
        </w:tc>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Target resolution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P1 – Critical</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Platform unavailable / critical function down</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30 minutes</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4 Business Hours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P2 – High</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Major function impaired; no workaround</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2 Business Hours</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1 Business Day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P3 – Medium</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Minor function impaired; workaround exists</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1 Business Day</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5 Business Days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P4 – Low</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Query, cosmetic or enhancement request</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2 Business Days</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As scheduled</w:t>
            </w:r>
          </w:p>
        </w:tc>
      </w:tr>
    </w:tbl>
    <w:p>
      <w:pPr>
        <w:spacing w:after="120"/>
      </w:pPr>
      <w:r>
        <w:rPr>
          <w:i w:val="false"/>
          <w:iCs w:val="false"/>
        </w:rPr>
        <w:t xml:space="preserve">Support hours are 08:00–18:00 UK time on Business Days, with P1 cover provided 24/7.</w:t>
      </w:r>
    </w:p>
    <w:p>
      <w:pPr>
        <w:pStyle w:val="Heading1"/>
      </w:pPr>
      <w:r>
        <w:t xml:space="preserve">5.  Service credits</w:t>
      </w:r>
    </w:p>
    <w:p>
      <w:pPr>
        <w:spacing w:after="120"/>
      </w:pPr>
      <w:r>
        <w:t xml:space="preserve">If the Monthly Uptime Percentage falls below the Uptime Commitment in any calendar month, the Customer is entitled to the following Service Credits, calculated as a percentage of one twelfth (1/12) of the annual Platform subscription fee for the affected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Monthly Uptime Percentage</w:t>
            </w:r>
          </w:p>
        </w:tc>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Service Credit</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&lt; 99.7% but ≥ 99.0%</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5% of the monthly Platform fee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&lt; 99.0% but ≥ 98.0%</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10% of the monthly Platform fee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&lt; 98.0% but ≥ 95.0%</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15% of the monthly Platform fee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&lt; 95.0%</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25% of the monthly Platform fee</w:t>
            </w:r>
          </w:p>
        </w:tc>
      </w:tr>
    </w:tbl>
    <w:p>
      <w:pPr>
        <w:spacing w:after="120"/>
      </w:pPr>
      <w:r>
        <w:t xml:space="preserve">Service Credits are the Customer’s sole financial remedy for failure to meet the Uptime Commitment, save that the Customer’s right to terminate for chronic failure under paragraph 6 is unaffected. The aggregate of Service Credits in any contract year shall not exceed 15% of the annual Platform subscription fee. Service Credits must be claimed within 30 days of the end of the relevant month and are applied against the next invoice.</w:t>
      </w:r>
    </w:p>
    <w:p>
      <w:pPr>
        <w:pStyle w:val="Heading1"/>
      </w:pPr>
      <w:r>
        <w:t xml:space="preserve">6.  Chronic failure</w:t>
      </w:r>
    </w:p>
    <w:p>
      <w:pPr>
        <w:spacing w:after="120"/>
      </w:pPr>
      <w:r>
        <w:t xml:space="preserve">If the Monthly Uptime Percentage is below 99.0% in any three (3) months within a rolling six (6) month period, or below 95.0% in any single month, the Customer may terminate the Agreement on 30 days’ written notice without liability and receive a pro-rata refund of prepaid fees for the terminated period.</w:t>
      </w:r>
    </w:p>
    <w:p>
      <w:pPr>
        <w:pStyle w:val="Heading1"/>
      </w:pPr>
      <w:r>
        <w:t xml:space="preserve">7.  Data restoration and continuity</w:t>
      </w:r>
    </w:p>
    <w:p>
      <w:pPr>
        <w:spacing w:after="120"/>
      </w:pPr>
      <w:r>
        <w:t xml:space="preserve">Caspian maintains a Recovery Point Objective (RPO) of 1 hour and a Recovery Time Objective (RTO) of 4 hours for the production environment. Customer Data is backed up not less than daily, with backups retained for 35 days and stored in a separate UK availability zone.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0" w:before="60"/>
      <w:jc w:val="center"/>
    </w:pPr>
    <w:r>
      <w:rPr>
        <w:color w:val="808080"/>
        <w:sz w:val="14"/>
        <w:szCs w:val="14"/>
      </w:rPr>
      <w:t xml:space="preserve">Whitfield Carter LLP is a limited liability partnership registered in England &amp; Wales. Confidential and may be legally privileged.</w:t>
    </w:r>
  </w:p>
  <w:p>
    <w:pPr>
      <w:spacing w:after="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2026-06-29T17:35:23.908Z</dcterms:created>
  <dcterms:modified xsi:type="dcterms:W3CDTF">2026-06-29T17:35:23.908Z</dcterms:modified>
</cp:coreProperties>
</file>

<file path=docProps/custom.xml><?xml version="1.0" encoding="utf-8"?>
<Properties xmlns="http://schemas.openxmlformats.org/officeDocument/2006/custom-properties" xmlns:vt="http://schemas.openxmlformats.org/officeDocument/2006/docPropsVTypes"/>
</file>