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8"/>
          <w:szCs w:val="28"/>
        </w:rPr>
        <w:t xml:space="preserve">SCHEDULE 3</w:t>
      </w:r>
    </w:p>
    <w:p>
      <w:pPr>
        <w:spacing w:after="200"/>
        <w:jc w:val="center"/>
      </w:pPr>
      <w:r>
        <w:rPr>
          <w:b/>
          <w:bCs/>
          <w:sz w:val="24"/>
          <w:szCs w:val="24"/>
        </w:rPr>
        <w:t xml:space="preserve">DATA PROCESSING AGREEMENT</w:t>
      </w:r>
    </w:p>
    <w:p>
      <w:pPr>
        <w:spacing w:after="120"/>
      </w:pPr>
      <w:r>
        <w:t xml:space="preserve">This Data Processing Agreement (this “DPA”) forms part of the Master Subscription &amp; Data Licence Agreement between Caspian Technologies Limited (“Caspian” / the “Processor”) and Brookmere Asset Management plc (the “Customer” / the “Controller”) and reflects the parties’ agreement on the Processing of Personal Data. Terms used but not defined in this DPA have the meaning given in the UK GDPR or the Agreement.</w:t>
      </w:r>
    </w:p>
    <w:p>
      <w:pPr>
        <w:pStyle w:val="Heading1"/>
      </w:pPr>
      <w:r>
        <w:t xml:space="preserve">1.  Scope and roles</w:t>
      </w:r>
    </w:p>
    <w:p>
      <w:pPr>
        <w:spacing w:after="120"/>
      </w:pPr>
      <w:r>
        <w:t xml:space="preserve">The parties acknowledge that, for the purposes of the Data Protection Legislation, the Customer is the Controller and Caspian is the Processor in respect of the Personal Data described in Annex 1. Caspian shall Process the Personal Data only on the documented instructions of the Customer, including those set out in this DPA and the Agreement, unless required to do otherwise by applicable law.</w:t>
      </w:r>
    </w:p>
    <w:p>
      <w:pPr>
        <w:pStyle w:val="Heading1"/>
      </w:pPr>
      <w:r>
        <w:t xml:space="preserve">2.  Processor obligations</w:t>
      </w:r>
    </w:p>
    <w:p>
      <w:pPr>
        <w:spacing w:after="120"/>
      </w:pPr>
      <w:r>
        <w:t xml:space="preserve">Caspian shall: (a) implement and maintain the technical and organisational measures set out in Annex 2; (b) ensure that persons authorised to Process the Personal Data are subject to confidentiality obligations; (c) assist the Customer, taking into account the nature of Processing, in responding to Data Subject requests and in complying with its obligations under Articles 32 to 36 UK GDPR; (d) make available information necessary to demonstrate compliance and allow for audits no more than once in any 12-month period on reasonable notice; and (e) at the Customer’s election, delete or return Personal Data on termination.</w:t>
      </w:r>
    </w:p>
    <w:p>
      <w:pPr>
        <w:pStyle w:val="Heading1"/>
      </w:pPr>
      <w:r>
        <w:t xml:space="preserve">3.  Sub-processors</w:t>
      </w:r>
    </w:p>
    <w:p>
      <w:pPr>
        <w:spacing w:after="120"/>
      </w:pPr>
      <w:r>
        <w:t xml:space="preserve">The Customer grants general authorisation for Caspian to engage the Sub-processors listed in Annex 3. Caspian shall give 30 days’ prior notice of any intended change and the Customer may object on reasonable data-protection grounds, in which case the parties shall work in good faith to resolve the objection. Caspian remains liable for its Sub-processors’ acts and omissions.</w:t>
      </w:r>
    </w:p>
    <w:p>
      <w:pPr>
        <w:pStyle w:val="Heading1"/>
      </w:pPr>
      <w:r>
        <w:t xml:space="preserve">4.  International transfers</w:t>
      </w:r>
    </w:p>
    <w:p>
      <w:pPr>
        <w:spacing w:after="120"/>
      </w:pPr>
      <w:r>
        <w:t xml:space="preserve">Caspian shall not transfer Personal Data outside the UK without ensuring an adequate transfer mechanism is in place (such as the UK Addendum to the EU Standard Contractual Clauses or adequacy regulations). Production hosting of Customer Data is in the United Kingdom.</w:t>
      </w:r>
    </w:p>
    <w:p>
      <w:pPr>
        <w:pStyle w:val="Heading1"/>
      </w:pPr>
      <w:r>
        <w:t xml:space="preserve">5.  Personal data breach</w:t>
      </w:r>
    </w:p>
    <w:p>
      <w:pPr>
        <w:spacing w:after="120"/>
      </w:pPr>
      <w:r>
        <w:t xml:space="preserve">Caspian shall notify the Customer without undue delay and in any event within 48 hours of becoming aware of a Personal Data Breach affecting the Customer’s Personal Data, and shall provide reasonable information and cooperation to enable the Customer to meet its own notification obligations.</w:t>
      </w:r>
    </w:p>
    <w:p>
      <w:r>
        <w:br w:type="page"/>
      </w:r>
    </w:p>
    <w:p>
      <w:pPr>
        <w:pStyle w:val="Heading1"/>
      </w:pPr>
      <w:r>
        <w:t xml:space="preserve">Annex 1 – Details of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Subject-matter</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Provision of the Caspian carbon-analytics SaaS platform and dataset to the Customer</w:t>
            </w:r>
          </w:p>
        </w:tc>
      </w:tr>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Duration</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The term of the Agreement plus any deletion/return period</w:t>
            </w:r>
          </w:p>
        </w:tc>
      </w:tr>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Nature &amp; purpose</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Hosting, storage and processing of user account data to deliver the Services</w:t>
            </w:r>
          </w:p>
        </w:tc>
      </w:tr>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Categories of Data Subject</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The Customer’s Authorised Users (employees and contractors)</w:t>
            </w:r>
          </w:p>
        </w:tc>
      </w:tr>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Categories of Personal Data</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Name, business email, job title, user ID, log/usage and authentication data</w:t>
            </w:r>
          </w:p>
        </w:tc>
      </w:tr>
      <w:tr>
        <w:tc>
          <w:tcPr>
            <w:tcW w:type="dxa" w:w="3120"/>
            <w:tcBorders>
              <w:top w:val="single" w:color="999999" w:sz="1"/>
              <w:left w:val="single" w:color="999999" w:sz="1"/>
              <w:bottom w:val="single" w:color="999999" w:sz="1"/>
              <w:right w:val="single" w:color="999999" w:sz="1"/>
            </w:tcBorders>
            <w:shd w:fill="DDEBF7" w:val="clear"/>
            <w:tcMar>
              <w:top w:type="dxa" w:w="60"/>
              <w:left w:type="dxa" w:w="100"/>
              <w:bottom w:type="dxa" w:w="60"/>
              <w:right w:type="dxa" w:w="100"/>
            </w:tcMar>
          </w:tcPr>
          <w:p>
            <w:pPr>
              <w:spacing w:after="0"/>
              <w:jc w:val="left"/>
            </w:pPr>
            <w:r>
              <w:rPr>
                <w:b/>
                <w:bCs/>
              </w:rPr>
              <w:t xml:space="preserve">Special category data</w:t>
            </w:r>
          </w:p>
        </w:tc>
        <w:tc>
          <w:tcPr>
            <w:tcW w:type="dxa" w:w="62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None</w:t>
            </w:r>
          </w:p>
        </w:tc>
      </w:tr>
    </w:tbl>
    <w:p>
      <w:pPr>
        <w:pStyle w:val="Heading1"/>
      </w:pPr>
      <w:r>
        <w:t xml:space="preserve">Annex 2 – Technical and Organisational Measures (summary)</w:t>
      </w:r>
    </w:p>
    <w:p>
      <w:pPr>
        <w:pStyle w:val="ListParagraph"/>
        <w:numPr>
          <w:ilvl w:val="0"/>
          <w:numId w:val="2"/>
        </w:numPr>
        <w:spacing w:after="80"/>
      </w:pPr>
      <w:r>
        <w:t xml:space="preserve">Encryption of Customer Data in transit (TLS 1.2+) and at rest (AES-256).</w:t>
      </w:r>
    </w:p>
    <w:p>
      <w:pPr>
        <w:pStyle w:val="ListParagraph"/>
        <w:numPr>
          <w:ilvl w:val="0"/>
          <w:numId w:val="2"/>
        </w:numPr>
        <w:spacing w:after="80"/>
      </w:pPr>
      <w:r>
        <w:t xml:space="preserve">Role-based access control, least-privilege provisioning and SSO/SAML support.</w:t>
      </w:r>
    </w:p>
    <w:p>
      <w:pPr>
        <w:pStyle w:val="ListParagraph"/>
        <w:numPr>
          <w:ilvl w:val="0"/>
          <w:numId w:val="2"/>
        </w:numPr>
        <w:spacing w:after="80"/>
      </w:pPr>
      <w:r>
        <w:t xml:space="preserve">Annual penetration testing and ISO/IEC 27001-aligned information-security management.</w:t>
      </w:r>
    </w:p>
    <w:p>
      <w:pPr>
        <w:pStyle w:val="ListParagraph"/>
        <w:numPr>
          <w:ilvl w:val="0"/>
          <w:numId w:val="2"/>
        </w:numPr>
        <w:spacing w:after="80"/>
      </w:pPr>
      <w:r>
        <w:t xml:space="preserve">Documented incident-response and business-continuity procedures (see Schedule 2, paragraph 7).</w:t>
      </w:r>
    </w:p>
    <w:p>
      <w:pPr>
        <w:pStyle w:val="Heading1"/>
      </w:pPr>
      <w:r>
        <w:t xml:space="preserve">Annex 3 – Approved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Sub-processor</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Service</w:t>
            </w:r>
          </w:p>
        </w:tc>
        <w:tc>
          <w:tcPr>
            <w:tcW w:type="dxa" w:w="0"/>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pPr>
              <w:spacing w:after="0"/>
              <w:jc w:val="left"/>
            </w:pPr>
            <w:r>
              <w:rPr>
                <w:b/>
                <w:bCs/>
              </w:rPr>
              <w:t xml:space="preserve">Location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Amazon Web Services EMEA</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Cloud infrastructure hosting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United Kingdom (eu-west-2)</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Cloudflare, Inc.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CDN / DDoS protection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United Kingdom edge</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Zendesk, Inc.</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Support ticketing</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spacing w:after="0"/>
              <w:jc w:val="left"/>
            </w:pPr>
            <w:r>
              <w:rPr>
                <w:b w:val="false"/>
                <w:bCs w:val="false"/>
              </w:rPr>
              <w:t xml:space="preserve">EU / UK</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2"/>
      </w:pBdr>
      <w:spacing w:after="0" w:before="60"/>
      <w:jc w:val="center"/>
    </w:pPr>
    <w:r>
      <w:rPr>
        <w:color w:val="808080"/>
        <w:sz w:val="14"/>
        <w:szCs w:val="14"/>
      </w:rPr>
      <w:t xml:space="preserve">Whitfield Carter LLP is a limited liability partnership registered in England &amp; Wales. Confidential and may be legally privileged.</w:t>
    </w:r>
  </w:p>
  <w:p>
    <w:pPr>
      <w:spacing w:after="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2026-06-29T17:35:23.958Z</dcterms:created>
  <dcterms:modified xsi:type="dcterms:W3CDTF">2026-06-29T17:35:23.958Z</dcterms:modified>
</cp:coreProperties>
</file>

<file path=docProps/custom.xml><?xml version="1.0" encoding="utf-8"?>
<Properties xmlns="http://schemas.openxmlformats.org/officeDocument/2006/custom-properties" xmlns:vt="http://schemas.openxmlformats.org/officeDocument/2006/docPropsVTypes"/>
</file>