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</w:rPr>
        <w:t xml:space="preserve">IN THE HIGH COURT OF JUSTICE</w:t>
      </w:r>
    </w:p>
    <w:p>
      <w:pPr>
        <w:spacing w:after="80"/>
        <w:jc w:val="center"/>
      </w:pPr>
      <w:r>
        <w:rPr>
          <w:b/>
          <w:bCs/>
        </w:rPr>
        <w:t xml:space="preserve">BUSINESS AND PROPERTY COURTS OF ENGLAND AND WALES</w:t>
      </w:r>
    </w:p>
    <w:p>
      <w:pPr>
        <w:spacing w:after="80"/>
        <w:jc w:val="center"/>
      </w:pPr>
      <w:r>
        <w:rPr>
          <w:b/>
          <w:bCs/>
        </w:rPr>
        <w:t xml:space="preserve">COMMERCIAL COURT (KBD)</w:t>
      </w:r>
    </w:p>
    <w:p>
      <w:pPr>
        <w:spacing w:after="120"/>
        <w:jc w:val="right"/>
      </w:pPr>
      <w:r>
        <w:rPr>
          <w:b/>
          <w:bCs/>
        </w:rPr>
        <w:t xml:space="preserve">Claim No. CL-2026-000204</w:t>
      </w:r>
    </w:p>
    <w:p>
      <w:pPr>
        <w:spacing w:after="120" w:before="120"/>
        <w:jc w:val="center"/>
      </w:pPr>
      <w:r>
        <w:rPr>
          <w:b/>
          <w:bCs/>
        </w:rPr>
        <w:t xml:space="preserve">B E T W E E N :</w:t>
      </w:r>
    </w:p>
    <w:p>
      <w:pPr>
        <w:jc w:val="center"/>
      </w:pPr>
      <w:r>
        <w:rPr>
          <w:b/>
          <w:bCs/>
        </w:rPr>
        <w:t xml:space="preserve">CASPIAN TECHNOLOGIES LIMITED</w:t>
      </w:r>
    </w:p>
    <w:p>
      <w:pPr>
        <w:spacing w:after="60"/>
        <w:jc w:val="right"/>
      </w:pPr>
      <w:r>
        <w:rPr>
          <w:i/>
          <w:iCs/>
        </w:rPr>
        <w:t xml:space="preserve">Claimant</w:t>
      </w:r>
    </w:p>
    <w:p>
      <w:pPr>
        <w:spacing w:after="60"/>
        <w:jc w:val="center"/>
      </w:pPr>
      <w:r>
        <w:t xml:space="preserve">- and -</w:t>
      </w:r>
    </w:p>
    <w:p>
      <w:pPr>
        <w:jc w:val="center"/>
      </w:pPr>
      <w:r>
        <w:rPr>
          <w:b/>
          <w:bCs/>
        </w:rPr>
        <w:t xml:space="preserve">HARBURN UTILITIES PLC</w:t>
      </w:r>
    </w:p>
    <w:p>
      <w:pPr>
        <w:spacing w:after="120"/>
        <w:jc w:val="right"/>
      </w:pPr>
      <w:r>
        <w:rPr>
          <w:i/>
          <w:iCs/>
        </w:rPr>
        <w:t xml:space="preserve">Defendant</w:t>
      </w:r>
    </w:p>
    <w:p>
      <w:pPr>
        <w:spacing w:after="140" w:before="140"/>
        <w:jc w:val="center"/>
      </w:pPr>
      <w:r>
        <w:rPr>
          <w:b/>
          <w:bCs/>
          <w:caps/>
        </w:rPr>
        <w:t xml:space="preserve">Chronology</w:t>
      </w:r>
    </w:p>
    <w:p>
      <w:pPr>
        <w:spacing w:after="140"/>
      </w:pPr>
      <w:r>
        <w:rPr>
          <w:i/>
          <w:iCs/>
        </w:rPr>
        <w:t xml:space="preserve">(Agreed neutral chronology prepared for the case management conference)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00"/>
        <w:gridCol w:w="24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/ Reference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Nov 2023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Harburn approaches Caspian; procurement begins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[B/12]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Jan 2024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Proof-of-concept exercise completed successfully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[B/18]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04/03/2024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Master SaaS Agreement signed (3-year initial term)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[A/4]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01/04/2024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Effective Date; Year 1 subscription due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[A/52]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12/06/2024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Platform released for user-acceptance testing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[B/30]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01/07/2024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Go-Live; Acceptance Certificate signed by F. Drummond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[A/74]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05/07/2024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Implementation final 50% invoice INV-2024-0733 raised (£60k)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[C/3]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Jul 24–Jun 25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Availability ≥ 99.83% every month; no service-credit claims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[D/96–115]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14/02/2025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SCADA ingest connector invoice INV-2025-0061 (£45k)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[C/7]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31/03/2025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Q1 professional-services invoice INV-2025-0218 (£24k)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[C/9]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01/04/2025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Year 2 subscription invoice INV-2025-0412 (£540k)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[C/1]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Q2 2025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Harburn announces group cost-reduction; merger collapses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[E/2]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Jul 2025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Planned-maintenance window; SCADA re-auth after Harburn API key rotation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[D/118]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08/08/2025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Harburn purports to terminate for material breach (Sturrock letter)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[F/120]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01/09/2025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Caspian accepts repudiation; Agreement ended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[F/124]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16/10/2025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Letter before action sent to Harburn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[G/130]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13/11/2025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Harburn’s response denying liability, intimating counterclaim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[G/140]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24/02/2026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Claim Form and Particulars of Claim issued (CL-2026-000204)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[H/1]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27/03/2026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Defence and Counterclaim served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[H/40]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08/05/2026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Case management conference; directions to trial</w:t>
            </w:r>
          </w:p>
        </w:tc>
        <w:tc>
          <w:tcPr>
            <w:tcW w:type="dxa" w:w="2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[H/60]</w:t>
            </w:r>
          </w:p>
        </w:tc>
      </w:tr>
    </w:tbl>
    <w:p>
      <w:r>
        <w:t xml:space="preserve"/>
      </w:r>
    </w:p>
    <w:p>
      <w:r>
        <w:rPr>
          <w:color w:val="555555"/>
          <w:sz w:val="20"/>
          <w:szCs w:val="20"/>
        </w:rPr>
        <w:t xml:space="preserve">Whitfield Carter LLP — Solicitors for the Claimant. Ref: SW/JO/CASP-204.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Caspian v Harburn — Chronology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</w:abstractNum>
  <w:abstractNum w:abstractNumId="4" w15:restartNumberingAfterBreak="0">
    <w:multiLevelType w:val="hybridMultilevel"/>
    <w:lvl w:ilvl="0" w15:tentative="1">
      <w:start w:val="1"/>
      <w:lvlText w:val="(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2026-06-26T00:38:14.576Z</dcterms:created>
  <dcterms:modified xsi:type="dcterms:W3CDTF">2026-06-26T00:38:14.577Z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