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0"/>
          <w:szCs w:val="30"/>
        </w:rPr>
        <w:t xml:space="preserve">WHITFIELD CARTER LLP</w:t>
      </w:r>
    </w:p>
    <w:p>
      <w:pPr>
        <w:jc w:val="center"/>
      </w:pPr>
      <w:r>
        <w:rPr>
          <w:color w:val="555555"/>
          <w:sz w:val="20"/>
          <w:szCs w:val="20"/>
        </w:rPr>
        <w:t xml:space="preserve">Solicitors</w:t>
      </w:r>
    </w:p>
    <w:p>
      <w:pPr>
        <w:jc w:val="center"/>
      </w:pPr>
      <w:r>
        <w:rPr>
          <w:color w:val="555555"/>
          <w:sz w:val="18"/>
          <w:szCs w:val="18"/>
        </w:rPr>
        <w:t xml:space="preserve">22 Bishopsgate, London EC2N 4BQ  ·  DX 138760 Cheapside  ·  T +44 (0)20 7946 0521</w:t>
      </w:r>
    </w:p>
    <w:p>
      <w:pPr>
        <w:pBdr>
          <w:bottom w:val="single" w:color="1F3864" w:sz="6" w:space="4"/>
        </w:pBdr>
      </w:pPr>
      <w:r>
        <w:t xml:space="preserve"/>
      </w:r>
    </w:p>
    <w:p>
      <w:r>
        <w:t xml:space="preserve"/>
      </w:r>
    </w:p>
    <w:p>
      <w:pPr>
        <w:spacing w:after="80"/>
      </w:pPr>
      <w:r>
        <w:rPr>
          <w:b/>
          <w:bCs/>
          <w:sz w:val="20"/>
          <w:szCs w:val="20"/>
        </w:rPr>
        <w:t xml:space="preserve">Strictly private and confidential</w:t>
      </w:r>
    </w:p>
    <w:p>
      <w:pPr>
        <w:spacing w:after="120"/>
        <w:jc w:val="both"/>
      </w:pPr>
      <w:r>
        <w:t xml:space="preserve">Pemberton Rowe LLP</w:t>
      </w:r>
    </w:p>
    <w:p>
      <w:pPr>
        <w:spacing w:after="120"/>
        <w:jc w:val="both"/>
      </w:pPr>
      <w:r>
        <w:t xml:space="preserve">40 Gracechurch Street, London EC3V 0BT</w:t>
      </w:r>
    </w:p>
    <w:p>
      <w:pPr>
        <w:spacing w:after="120"/>
        <w:jc w:val="both"/>
      </w:pPr>
      <w:r>
        <w:t xml:space="preserve">For the attention of Mr Alistair Whitlock</w:t>
      </w:r>
    </w:p>
    <w:p>
      <w:pPr>
        <w:jc w:val="right"/>
      </w:pPr>
      <w:r>
        <w:t xml:space="preserve">By email and post</w:t>
      </w:r>
    </w:p>
    <w:p>
      <w:pPr>
        <w:jc w:val="right"/>
      </w:pPr>
      <w:r>
        <w:t xml:space="preserve">Our ref: SW/JO/CASP-204</w:t>
      </w:r>
    </w:p>
    <w:p>
      <w:pPr>
        <w:jc w:val="right"/>
      </w:pPr>
      <w:r>
        <w:t xml:space="preserve">Your ref: AW/HARB/0091</w:t>
      </w:r>
    </w:p>
    <w:p>
      <w:pPr>
        <w:spacing w:after="160"/>
        <w:jc w:val="right"/>
      </w:pPr>
      <w:r>
        <w:t xml:space="preserve">28 April 2026</w:t>
      </w:r>
    </w:p>
    <w:p>
      <w:pPr>
        <w:spacing w:after="120"/>
      </w:pPr>
      <w:r>
        <w:t xml:space="preserve">Dear Sirs</w:t>
      </w:r>
    </w:p>
    <w:p>
      <w:pPr>
        <w:spacing w:after="120"/>
      </w:pPr>
      <w:r>
        <w:rPr>
          <w:b/>
          <w:bCs/>
        </w:rPr>
        <w:t xml:space="preserve">Caspian Technologies Limited v Harburn Utilities plc — Claim No. CL-2026-000204</w:t>
      </w:r>
    </w:p>
    <w:p>
      <w:pPr>
        <w:spacing w:after="120"/>
      </w:pPr>
      <w:r>
        <w:rPr>
          <w:b/>
          <w:bCs/>
        </w:rPr>
        <w:t xml:space="preserve">Directions and the forthcoming Case Management Conference (8 May 2026)</w:t>
      </w:r>
    </w:p>
    <w:p>
      <w:pPr>
        <w:spacing w:after="120"/>
        <w:jc w:val="both"/>
      </w:pPr>
      <w:r>
        <w:t xml:space="preserve">We write further to the Court’s order listing the case management conference for 8 May 2026 and in advance of the parties’ obligation to file agreed (or, failing agreement, rival) draft directions and costs budgets in Precedent H not less than seven days before the hearing.</w:t>
      </w:r>
    </w:p>
    <w:p>
      <w:pPr>
        <w:spacing w:after="120"/>
        <w:jc w:val="both"/>
      </w:pPr>
      <w:r>
        <w:t xml:space="preserve">We enclose our client’s proposed draft directions. In summary, we propose: (1) disclosure by extended disclosure under Practice Direction 57AD, with Disclosure Review Document to be agreed by 5 June 2026 and Extended Disclosure given by 17 July 2026; (2) exchange of signed witness statements by 11 September 2026; (3) expert evidence limited to a single discipline (quantum/forensic accounting), one expert each, reports exchanged by 23 October 2026 and a joint statement by 13 November 2026; (4) a pre-trial review in the week commencing 7 December 2026; and (5) a five-day trial in the window commencing 18 January 2027.</w:t>
      </w:r>
    </w:p>
    <w:p>
      <w:pPr>
        <w:spacing w:after="120"/>
        <w:jc w:val="both"/>
      </w:pPr>
      <w:r>
        <w:t xml:space="preserve">As to disclosure, the principal issues to which Models C and D will apply are: (i) the availability and performance of the CarbonLedger platform between July 2024 and August 2025; (ii) the circumstances of the July 2025 connector incident, including your client’s rotation of its own API credentials; (iii) the genuine reason for your client’s purported termination, including documents evidencing the group cost-reduction programme and the budgetary treatment of the CarbonLedger subscription; and (iv) quantum, including our client’s avoided costs and mitigation.</w:t>
      </w:r>
    </w:p>
    <w:p>
      <w:pPr>
        <w:spacing w:after="120"/>
        <w:jc w:val="both"/>
      </w:pPr>
      <w:r>
        <w:t xml:space="preserve">We note that your client’s Defence and Counterclaim asserts loss said to exceed £640,000. Your client’s pleaded counterclaim does not engage with the exclusive-remedy provision in clause 9.2 and Schedule 3, paragraph 5, nor with the liability cap in clause 9.4. We reserve our client’s position fully and will, if necessary, invite the Court to determine those points as preliminary issues or by way of an application to strike out parts of the counterclaim.</w:t>
      </w:r>
    </w:p>
    <w:p>
      <w:pPr>
        <w:spacing w:after="120"/>
        <w:jc w:val="both"/>
      </w:pPr>
      <w:r>
        <w:t xml:space="preserve">Finally, we should be grateful if you would confirm by return whether your client is willing to participate in a mediation. Our client remains willing to explore a commercial resolution and considers that a one-day mediation in June or July 2026 would be proportionate. Please confirm your client’s position so that we can address ADR in the agreed directions and in our respective costs budgets.</w:t>
      </w:r>
    </w:p>
    <w:p>
      <w:pPr>
        <w:spacing w:after="120"/>
        <w:jc w:val="both"/>
      </w:pPr>
      <w:r>
        <w:t xml:space="preserve">We look forward to hearing from you.</w:t>
      </w:r>
    </w:p>
    <w:p>
      <w:r>
        <w:t xml:space="preserve"/>
      </w:r>
    </w:p>
    <w:p>
      <w:pPr>
        <w:spacing w:after="200"/>
      </w:pPr>
      <w:r>
        <w:t xml:space="preserve">Yours faithfully</w:t>
      </w:r>
    </w:p>
    <w:p>
      <w:r>
        <w:rPr>
          <w:b/>
          <w:bCs/>
        </w:rPr>
        <w:t xml:space="preserve">Whitfield Carter LLP</w:t>
      </w:r>
    </w:p>
    <w:p>
      <w:pPr>
        <w:spacing w:before="120"/>
      </w:pPr>
      <w:r>
        <w:rPr>
          <w:i/>
          <w:iCs/>
          <w:color w:val="555555"/>
          <w:sz w:val="20"/>
          <w:szCs w:val="20"/>
        </w:rPr>
        <w:t xml:space="preserve">Enc. Draft directions; draft Precedent H costs budget</w:t>
      </w:r>
    </w:p>
    <w:p>
      <w:pPr>
        <w:spacing w:before="200"/>
      </w:pPr>
      <w:r>
        <w:rPr>
          <w:i/>
          <w:iCs/>
          <w:color w:val="888888"/>
          <w:sz w:val="18"/>
          <w:szCs w:val="18"/>
        </w:rPr>
        <w:t xml:space="preserve">Confidential and may be legally privileged.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Caspian v Harburn — CMC directions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abstractNum>
  <w:abstractNum w:abstractNumId="3" w15:restartNumberingAfterBreak="0">
    <w:multiLevelType w:val="hybridMultilevel"/>
    <w:lvl w:ilvl="0" w15:tentative="1">
      <w:start w:val="1"/>
      <w:numFmt w:val="decimal"/>
      <w:lvlText w:val="%1."/>
      <w:lvlJc w:val="left"/>
      <w:pPr>
        <w:ind w:left="600" w:hanging="600"/>
      </w:pPr>
    </w:lvl>
  </w:abstractNum>
  <w:abstractNum w:abstractNumId="4" w15:restartNumberingAfterBreak="0">
    <w:multiLevelType w:val="hybridMultilevel"/>
    <w:lvl w:ilvl="0" w15:tentative="1">
      <w:start w:val="1"/>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600" w:hanging="6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18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2026-06-26T00:38:14.692Z</dcterms:created>
  <dcterms:modified xsi:type="dcterms:W3CDTF">2026-06-26T00:38:14.692Z</dcterms:modified>
</cp:coreProperties>
</file>

<file path=docProps/custom.xml><?xml version="1.0" encoding="utf-8"?>
<Properties xmlns="http://schemas.openxmlformats.org/officeDocument/2006/custom-properties" xmlns:vt="http://schemas.openxmlformats.org/officeDocument/2006/docPropsVTypes"/>
</file>