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IN THE HIGH COURT OF JUSTICE</w:t>
      </w:r>
    </w:p>
    <w:p>
      <w:pPr>
        <w:spacing w:after="80"/>
        <w:jc w:val="center"/>
      </w:pPr>
      <w:r>
        <w:rPr>
          <w:b/>
          <w:bCs/>
        </w:rPr>
        <w:t xml:space="preserve">BUSINESS AND PROPERTY COURTS OF ENGLAND AND WALES</w:t>
      </w:r>
    </w:p>
    <w:p>
      <w:pPr>
        <w:spacing w:after="80"/>
        <w:jc w:val="center"/>
      </w:pPr>
      <w:r>
        <w:rPr>
          <w:b/>
          <w:bCs/>
        </w:rPr>
        <w:t xml:space="preserve">COMMERCIAL COURT (KBD)</w:t>
      </w:r>
    </w:p>
    <w:p>
      <w:pPr>
        <w:spacing w:after="120"/>
        <w:jc w:val="right"/>
      </w:pPr>
      <w:r>
        <w:rPr>
          <w:b/>
          <w:bCs/>
        </w:rPr>
        <w:t xml:space="preserve">Claim No. CL-2026-000204</w:t>
      </w:r>
    </w:p>
    <w:p>
      <w:pPr>
        <w:spacing w:after="120" w:before="120"/>
        <w:jc w:val="center"/>
      </w:pPr>
      <w:r>
        <w:rPr>
          <w:b/>
          <w:bCs/>
        </w:rPr>
        <w:t xml:space="preserve">B E T W E E N :</w:t>
      </w:r>
    </w:p>
    <w:p>
      <w:pPr>
        <w:jc w:val="right"/>
      </w:pPr>
      <w:r>
        <w:rPr>
          <w:i/>
          <w:iCs/>
          <w:sz w:val="20"/>
          <w:szCs w:val="20"/>
        </w:rPr>
        <w:t xml:space="preserve">First Witness Statement of Henry Larsson</w:t>
      </w:r>
    </w:p>
    <w:p>
      <w:pPr>
        <w:spacing w:after="80"/>
        <w:jc w:val="right"/>
      </w:pPr>
      <w:r>
        <w:rPr>
          <w:i/>
          <w:iCs/>
          <w:sz w:val="20"/>
          <w:szCs w:val="20"/>
        </w:rPr>
        <w:t xml:space="preserve">Exhibit: “HL1”  ·  Made: 24 February 2026</w:t>
      </w:r>
    </w:p>
    <w:p>
      <w:pPr>
        <w:jc w:val="center"/>
      </w:pPr>
      <w:r>
        <w:rPr>
          <w:b/>
          <w:bCs/>
        </w:rPr>
        <w:t xml:space="preserve">CASPIAN TECHNOLOGIES LIMITED</w:t>
      </w:r>
    </w:p>
    <w:p>
      <w:pPr>
        <w:spacing w:after="60"/>
        <w:jc w:val="right"/>
      </w:pPr>
      <w:r>
        <w:rPr>
          <w:i/>
          <w:iCs/>
        </w:rPr>
        <w:t xml:space="preserve">Claimant</w:t>
      </w:r>
    </w:p>
    <w:p>
      <w:pPr>
        <w:spacing w:after="60"/>
        <w:jc w:val="center"/>
      </w:pPr>
      <w:r>
        <w:t xml:space="preserve">- and -</w:t>
      </w:r>
    </w:p>
    <w:p>
      <w:pPr>
        <w:jc w:val="center"/>
      </w:pPr>
      <w:r>
        <w:rPr>
          <w:b/>
          <w:bCs/>
        </w:rPr>
        <w:t xml:space="preserve">HARBURN UTILITIES PLC</w:t>
      </w:r>
    </w:p>
    <w:p>
      <w:pPr>
        <w:spacing w:after="120"/>
        <w:jc w:val="right"/>
      </w:pPr>
      <w:r>
        <w:rPr>
          <w:i/>
          <w:iCs/>
        </w:rPr>
        <w:t xml:space="preserve">Defendant</w:t>
      </w:r>
    </w:p>
    <w:p>
      <w:pPr>
        <w:pBdr>
          <w:top w:val="single" w:color="000000" w:sz="4" w:space="2"/>
          <w:bottom w:val="single" w:color="000000" w:sz="4" w:space="2"/>
        </w:pBdr>
        <w:spacing w:after="140" w:before="140"/>
        <w:jc w:val="center"/>
      </w:pPr>
      <w:r>
        <w:rPr>
          <w:b/>
          <w:bCs/>
          <w:caps/>
        </w:rPr>
        <w:t xml:space="preserve">First Witness Statement of Henry Larsson</w:t>
      </w:r>
    </w:p>
    <w:p>
      <w:pPr>
        <w:jc w:val="both"/>
      </w:pPr>
      <w:r>
        <w:t xml:space="preserve">I, </w:t>
      </w:r>
      <w:r>
        <w:rPr>
          <w:b/>
          <w:bCs/>
        </w:rPr>
        <w:t xml:space="preserve">HENRY LARSSON</w:t>
      </w:r>
      <w:r>
        <w:t xml:space="preserve">, of Caspian Technologies Limited, 1 Finsbury Avenue, London EC2M 2PF, WILL SAY as follows:</w:t>
      </w:r>
    </w:p>
    <w:p>
      <w:r>
        <w:t xml:space="preserve"/>
      </w:r>
    </w:p>
    <w:p>
      <w:pPr>
        <w:spacing w:after="80" w:before="160"/>
      </w:pPr>
      <w:r>
        <w:rPr>
          <w:b/>
          <w:bCs/>
          <w:u w:val="single"/>
        </w:rPr>
        <w:t xml:space="preserve">Introduction</w:t>
      </w:r>
    </w:p>
    <w:p>
      <w:pPr>
        <w:pStyle w:val="ListParagraph"/>
        <w:numPr>
          <w:ilvl w:val="0"/>
          <w:numId w:val="2"/>
        </w:numPr>
        <w:spacing w:after="120"/>
        <w:jc w:val="both"/>
      </w:pPr>
      <w:r>
        <w:t xml:space="preserve">I am the founder and Chief Executive Officer of the Claimant, Caspian Technologies Limited (“Caspian”). I have held that position since I founded the company in 2018. I am authorised to make this statement on behalf of Caspian.</w:t>
      </w:r>
    </w:p>
    <w:p>
      <w:pPr>
        <w:pStyle w:val="ListParagraph"/>
        <w:numPr>
          <w:ilvl w:val="0"/>
          <w:numId w:val="2"/>
        </w:numPr>
        <w:spacing w:after="120"/>
        <w:jc w:val="both"/>
      </w:pPr>
      <w:r>
        <w:t xml:space="preserve">The facts and matters set out in this statement are within my own knowledge, save where I indicate to the contrary, in which case I identify the source of my information or belief. Where I refer to documents, they are contained in the exhibit marked “HL1”, to which I refer using the page references in the form [HL1/page].</w:t>
      </w:r>
    </w:p>
    <w:p>
      <w:pPr>
        <w:pStyle w:val="ListParagraph"/>
        <w:numPr>
          <w:ilvl w:val="0"/>
          <w:numId w:val="2"/>
        </w:numPr>
        <w:spacing w:after="120"/>
        <w:jc w:val="both"/>
      </w:pPr>
      <w:r>
        <w:t xml:space="preserve">I make this statement in support of Caspian’s claim against the Defendant, Harburn Utilities plc (“Harburn”), for unpaid fees of £669,000 and damages of £760,950 arising from Harburn’s wrongful repudiation of the parties’ Master SaaS Agreement dated 4 March 2024 (the “Agreement”).</w:t>
      </w:r>
    </w:p>
    <w:p>
      <w:pPr>
        <w:spacing w:after="80" w:before="160"/>
      </w:pPr>
      <w:r>
        <w:rPr>
          <w:b/>
          <w:bCs/>
          <w:u w:val="single"/>
        </w:rPr>
        <w:t xml:space="preserve">Background to the relationship</w:t>
      </w:r>
    </w:p>
    <w:p>
      <w:pPr>
        <w:pStyle w:val="ListParagraph"/>
        <w:numPr>
          <w:ilvl w:val="0"/>
          <w:numId w:val="2"/>
        </w:numPr>
        <w:spacing w:after="120"/>
        <w:jc w:val="both"/>
      </w:pPr>
      <w:r>
        <w:t xml:space="preserve">Caspian develops and licenses CarbonLedger, a software-as-a-service platform that enables large energy and utility businesses to collect, calculate, assure and report their greenhouse-gas emissions. It is used by enterprise customers to prepare regulatory disclosures, including under the Streamlined Energy and Carbon Reporting (SECR) regime and, increasingly, the Corporate Sustainability Reporting Directive (CSRD).</w:t>
      </w:r>
    </w:p>
    <w:p>
      <w:pPr>
        <w:pStyle w:val="ListParagraph"/>
        <w:numPr>
          <w:ilvl w:val="0"/>
          <w:numId w:val="2"/>
        </w:numPr>
        <w:spacing w:after="120"/>
        <w:jc w:val="both"/>
      </w:pPr>
      <w:r>
        <w:t xml:space="preserve">Harburn first approached Caspian in late 2023. Harburn’s sustainability team, led by Ms Fiona Drummond, was under pressure to replace a patchwork of spreadsheets ahead of its FY2024 reporting cycle. Following a competitive procurement and a proof-of-concept exercise in January 2024, Harburn selected CarbonLedger. The Agreement was signed on 4 March 2024 [HL1/4–61].</w:t>
      </w:r>
    </w:p>
    <w:p>
      <w:pPr>
        <w:pStyle w:val="ListParagraph"/>
        <w:numPr>
          <w:ilvl w:val="0"/>
          <w:numId w:val="2"/>
        </w:numPr>
        <w:spacing w:after="120"/>
        <w:jc w:val="both"/>
      </w:pPr>
      <w:r>
        <w:t xml:space="preserve">The commercial structure was straightforward. Harburn agreed to pay a one-off implementation fee of £120,000, an annual subscription of £540,000 for up to 750 named users, and certain usage and professional-services charges. The Agreement had an initial term of three years from 1 April 2024, expiring on 31 March 2027.</w:t>
      </w:r>
    </w:p>
    <w:p>
      <w:pPr>
        <w:spacing w:after="80" w:before="160"/>
      </w:pPr>
      <w:r>
        <w:rPr>
          <w:b/>
          <w:bCs/>
          <w:u w:val="single"/>
        </w:rPr>
        <w:t xml:space="preserve">Implementation and Go-Live</w:t>
      </w:r>
    </w:p>
    <w:p>
      <w:pPr>
        <w:pStyle w:val="ListParagraph"/>
        <w:numPr>
          <w:ilvl w:val="0"/>
          <w:numId w:val="2"/>
        </w:numPr>
        <w:spacing w:after="120"/>
        <w:jc w:val="both"/>
      </w:pPr>
      <w:r>
        <w:t xml:space="preserve">Caspian implemented and configured the platform in accordance with the agreed Implementation Plan. We connected Harburn’s SCADA, metering and finance data sources, configured its emission factors and reporting templates, and trained its users. The platform was released for user-acceptance testing on 12 June 2024 and went live on 1 July 2024. Ms Drummond signed the Go-Live Acceptance Certificate that day, confirming the platform met the acceptance criteria [HL1/74].</w:t>
      </w:r>
    </w:p>
    <w:p>
      <w:pPr>
        <w:pStyle w:val="ListParagraph"/>
        <w:numPr>
          <w:ilvl w:val="0"/>
          <w:numId w:val="2"/>
        </w:numPr>
        <w:spacing w:after="120"/>
        <w:jc w:val="both"/>
      </w:pPr>
      <w:r>
        <w:t xml:space="preserve">From Go-Live until the summer of 2025, Harburn used CarbonLedger heavily. More than 410 of its staff were provisioned as users. Harburn produced its FY2024 SECR disclosures on the platform and began its CSRD-readiness work using our double-materiality module. I am not aware of any formal complaint about the platform’s performance during this period, and Harburn never submitted a single service-credit claim under the SLA.</w:t>
      </w:r>
    </w:p>
    <w:p>
      <w:pPr>
        <w:spacing w:after="80" w:before="160"/>
      </w:pPr>
      <w:r>
        <w:rPr>
          <w:b/>
          <w:bCs/>
          <w:u w:val="single"/>
        </w:rPr>
        <w:t xml:space="preserve">Availability and the alleged failures</w:t>
      </w:r>
    </w:p>
    <w:p>
      <w:pPr>
        <w:pStyle w:val="ListParagraph"/>
        <w:numPr>
          <w:ilvl w:val="0"/>
          <w:numId w:val="2"/>
        </w:numPr>
        <w:spacing w:after="120"/>
        <w:jc w:val="both"/>
      </w:pPr>
      <w:r>
        <w:t xml:space="preserve">Schedule 3 to the Agreement contained a service-level commitment that the platform would be available at least 99.8% of the time each month, with service credits as the sole remedy for any shortfall. Our monthly service reports, which were sent to Harburn and never disputed, show measured availability of at least 99.83% in every month from July 2024 to June 2025 [HL1/96–115]. The platform comfortably met its commitment throughout.</w:t>
      </w:r>
    </w:p>
    <w:p>
      <w:pPr>
        <w:pStyle w:val="ListParagraph"/>
        <w:numPr>
          <w:ilvl w:val="0"/>
          <w:numId w:val="2"/>
        </w:numPr>
        <w:spacing w:after="120"/>
        <w:jc w:val="both"/>
      </w:pPr>
      <w:r>
        <w:t xml:space="preserve">In July 2025 there was a single planned-maintenance window, notified to Harburn in advance, during which a SCADA connector required re-authentication after Harburn rotated its own API credentials without telling us. This was promptly resolved once Harburn provided the new credentials. It was, in my view, a routine operational matter caused by Harburn’s own change, and it did not affect the integrity of any reported data.</w:t>
      </w:r>
    </w:p>
    <w:p>
      <w:pPr>
        <w:spacing w:after="80" w:before="160"/>
      </w:pPr>
      <w:r>
        <w:rPr>
          <w:b/>
          <w:bCs/>
          <w:u w:val="single"/>
        </w:rPr>
        <w:t xml:space="preserve">Harburn’s termination</w:t>
      </w:r>
    </w:p>
    <w:p>
      <w:pPr>
        <w:pStyle w:val="ListParagraph"/>
        <w:numPr>
          <w:ilvl w:val="0"/>
          <w:numId w:val="2"/>
        </w:numPr>
        <w:spacing w:after="120"/>
        <w:jc w:val="both"/>
      </w:pPr>
      <w:r>
        <w:t xml:space="preserve">On 8 August 2025 we received a letter from Harburn’s General Counsel, Mr Iain Sturrock, purporting to terminate the Agreement with immediate effect for alleged “persistent unavailability and data-integrity failures” [HL1/120]. This came as a complete surprise. No notice requiring us to remedy anything had ever been served, no service-credit claim had ever been made, and the availability figures simply did not support what was being alleged.</w:t>
      </w:r>
    </w:p>
    <w:p>
      <w:pPr>
        <w:pStyle w:val="ListParagraph"/>
        <w:numPr>
          <w:ilvl w:val="0"/>
          <w:numId w:val="2"/>
        </w:numPr>
        <w:spacing w:after="120"/>
        <w:jc w:val="both"/>
      </w:pPr>
      <w:r>
        <w:t xml:space="preserve">I believe the real reason for the termination was commercial. In the second quarter of 2025 Harburn announced a group-wide cost-reduction programme following the collapse of a proposed merger, and I understand from press reporting that its sustainability budget was cut substantially. I believe Harburn seized upon the connector incident as a pretext to escape a three-year commitment it no longer wished to fund.</w:t>
      </w:r>
    </w:p>
    <w:p>
      <w:pPr>
        <w:spacing w:after="80" w:before="160"/>
      </w:pPr>
      <w:r>
        <w:rPr>
          <w:b/>
          <w:bCs/>
          <w:u w:val="single"/>
        </w:rPr>
        <w:t xml:space="preserve">Loss</w:t>
      </w:r>
    </w:p>
    <w:p>
      <w:pPr>
        <w:pStyle w:val="ListParagraph"/>
        <w:numPr>
          <w:ilvl w:val="0"/>
          <w:numId w:val="2"/>
        </w:numPr>
        <w:spacing w:after="120"/>
        <w:jc w:val="both"/>
      </w:pPr>
      <w:r>
        <w:t xml:space="preserve">Caspian has lost the revenue it would have earned over the remaining 19 months of the term, net of the limited costs we have been able to avoid. We have been unable to backfill that revenue: enterprise sales cycles in our sector run to twelve to eighteen months, and the headcount and infrastructure provisioned for Harburn could not simply be redeployed. The lost net revenue is £760,950, as set out in the Schedule of Loss. In addition, Harburn owes us £669,000 in invoices that fell due and were never paid.</w:t>
      </w:r>
    </w:p>
    <w:p>
      <w:pPr>
        <w:pStyle w:val="ListParagraph"/>
        <w:numPr>
          <w:ilvl w:val="0"/>
          <w:numId w:val="2"/>
        </w:numPr>
        <w:spacing w:after="120"/>
        <w:jc w:val="both"/>
      </w:pPr>
      <w:r>
        <w:t xml:space="preserve">In the circumstances, I respectfully ask the Court to grant Caspian the relief it seeks.</w:t>
      </w:r>
    </w:p>
    <w:p>
      <w:r>
        <w:t xml:space="preserve"/>
      </w:r>
    </w:p>
    <w:p>
      <w:pPr>
        <w:spacing w:after="80"/>
      </w:pPr>
      <w:r>
        <w:rPr>
          <w:b/>
          <w:bCs/>
        </w:rPr>
        <w:t xml:space="preserve">Statement of Truth</w:t>
      </w:r>
    </w:p>
    <w:p>
      <w:pPr>
        <w:jc w:val="bot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r>
        <w:t xml:space="preserve"/>
      </w:r>
    </w:p>
    <w:p>
      <w:pPr>
        <w:jc w:val="both"/>
      </w:pPr>
      <w:r>
        <w:t xml:space="preserve">Signed: ......................................</w:t>
      </w:r>
    </w:p>
    <w:p>
      <w:pPr>
        <w:jc w:val="both"/>
      </w:pPr>
      <w:r>
        <w:t xml:space="preserve">Henry Larsson</w:t>
      </w:r>
    </w:p>
    <w:p>
      <w:pPr>
        <w:jc w:val="both"/>
      </w:pPr>
      <w:r>
        <w:t xml:space="preserve">Dated: 24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First Witness Statement of Henry Larsson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2026-06-26T00:43:59.137Z</dcterms:created>
  <dcterms:modified xsi:type="dcterms:W3CDTF">2026-06-26T00:43:59.137Z</dcterms:modified>
</cp:coreProperties>
</file>

<file path=docProps/custom.xml><?xml version="1.0" encoding="utf-8"?>
<Properties xmlns="http://schemas.openxmlformats.org/officeDocument/2006/custom-properties" xmlns:vt="http://schemas.openxmlformats.org/officeDocument/2006/docPropsVTypes"/>
</file>