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28"/>
          <w:szCs w:val="28"/>
        </w:rPr>
        <w:t xml:space="preserve">Whitfield Carter LLP</w:t>
      </w:r>
    </w:p>
    <w:p>
      <w:pPr>
        <w:spacing w:after="0"/>
      </w:pPr>
      <w:r>
        <w:rPr>
          <w:color w:val="595959"/>
          <w:sz w:val="18"/>
          <w:szCs w:val="18"/>
        </w:rPr>
        <w:t xml:space="preserve">22 Bishopsgate, London EC2N 4BQ</w:t>
      </w:r>
    </w:p>
    <w:p>
      <w:pPr>
        <w:pBdr>
          <w:bottom w:val="single" w:color="1F3864" w:sz="6" w:space="4"/>
        </w:pBdr>
        <w:spacing w:after="200"/>
      </w:pPr>
      <w:r>
        <w:rPr>
          <w:color w:val="595959"/>
          <w:sz w:val="18"/>
          <w:szCs w:val="18"/>
        </w:rPr>
        <w:t xml:space="preserve">T +44 (0)20 7946 0100   whitfieldcarter.com</w:t>
      </w:r>
    </w:p>
    <w:p>
      <w:pPr>
        <w:spacing w:after="60"/>
      </w:pPr>
      <w:r>
        <w:rPr>
          <w:b/>
          <w:bCs/>
        </w:rPr>
        <w:t xml:space="preserve">PRIVILEGED &amp; CONFIDENTIAL — INTERNAL FILE NOTE</w:t>
      </w:r>
    </w:p>
    <w:p>
      <w:r>
        <w:t xml:space="preserve">To: Sofia Trevino, Daniel Okonkwo (Caspian)</w:t>
      </w:r>
    </w:p>
    <w:p>
      <w:r>
        <w:t xml:space="preserve">From: James Osei, Whitfield Carter LLP</w:t>
      </w:r>
    </w:p>
    <w:p>
      <w:pPr>
        <w:spacing w:after="120"/>
      </w:pPr>
      <w:r>
        <w:t xml:space="preserve">Date: 21 November 2025</w:t>
      </w:r>
    </w:p>
    <w:p>
      <w:pPr>
        <w:spacing w:after="120"/>
      </w:pPr>
      <w:r>
        <w:rPr>
          <w:b/>
          <w:bCs/>
        </w:rPr>
        <w:t xml:space="preserve">Re: Harborlight subscription — review of Denham Lewis mark-up (v2)</w:t>
      </w:r>
    </w:p>
    <w:p>
      <w:pPr>
        <w:spacing w:after="120" w:line="276"/>
      </w:pPr>
      <w:r>
        <w:t xml:space="preserve">We have reviewed the mark-up returned by Denham Lewis on 19 November. The key points for your decision are set out below; our recommended positions are in italics.</w:t>
      </w:r>
    </w:p>
    <w:p>
      <w:pPr>
        <w:pStyle w:val="Heading2"/>
      </w:pPr>
      <w:r>
        <w:t xml:space="preserve">1. Liability cap (clause 9.5)</w:t>
      </w:r>
    </w:p>
    <w:p>
      <w:pPr>
        <w:spacing w:after="120" w:line="276"/>
      </w:pPr>
      <w:r>
        <w:t xml:space="preserve">Harborlight has increased the cap from our proposed 100% to 200% of annual fees and carved data-protection breaches out of the cap entirely. This is the most significant commercial point. We recommend landing at 150% of trailing 12-month fees, with the data-protection carve-out resisted and instead a separate, super-cap of 200% for data breaches if pushed.</w:t>
      </w:r>
    </w:p>
    <w:p>
      <w:pPr>
        <w:pStyle w:val="Heading2"/>
      </w:pPr>
      <w:r>
        <w:t xml:space="preserve">2. Payment terms (clause 6.2)</w:t>
      </w:r>
    </w:p>
    <w:p>
      <w:pPr>
        <w:spacing w:after="120" w:line="276"/>
      </w:pPr>
      <w:r>
        <w:t xml:space="preserve">Harborlight wants net 45 days. Given annual-in-advance billing, net 30 is reasonable; we suggest holding at 30 and conceding only if needed as a trade for the cap.</w:t>
      </w:r>
    </w:p>
    <w:p>
      <w:pPr>
        <w:pStyle w:val="Heading2"/>
      </w:pPr>
      <w:r>
        <w:t xml:space="preserve">3. SLA uptime (Schedule 3)</w:t>
      </w:r>
    </w:p>
    <w:p>
      <w:pPr>
        <w:spacing w:after="120" w:line="276"/>
      </w:pPr>
      <w:r>
        <w:t xml:space="preserve">Harborlight is asking for 99.9%. Operations have confirmed 99.7% is sustainable for the current architecture; 99.9% is not. We recommend offering 99.7% with the enhanced service-credit table as the compromise.</w:t>
      </w:r>
    </w:p>
    <w:p>
      <w:pPr>
        <w:pStyle w:val="Heading2"/>
      </w:pPr>
      <w:r>
        <w:t xml:space="preserve">4. Data licence scope (clause 4.2)</w:t>
      </w:r>
    </w:p>
    <w:p>
      <w:pPr>
        <w:spacing w:after="120" w:line="276"/>
      </w:pPr>
      <w:r>
        <w:t xml:space="preserve">Harborlight has proposed broad rights to share emissions outputs with its own customers. We recommend limiting onward use to aggregated outputs in published sustainability/regulatory reports only, which preserves the dataset's value.</w:t>
      </w:r>
    </w:p>
    <w:p>
      <w:pPr>
        <w:pStyle w:val="Heading2"/>
      </w:pPr>
      <w:r>
        <w:t xml:space="preserve">5. Auto-renewal (clause 2.2)</w:t>
      </w:r>
    </w:p>
    <w:p>
      <w:pPr>
        <w:spacing w:after="120" w:line="276"/>
      </w:pPr>
      <w:r>
        <w:t xml:space="preserve">Harborlight asked to delete auto-renewal. We recommend retaining it but extending the non-renewal notice window to 90 days, which they have indicated they can accept.</w:t>
      </w:r>
    </w:p>
    <w:p>
      <w:pPr>
        <w:spacing w:after="120" w:line="276"/>
      </w:pPr>
      <w:r>
        <w:t xml:space="preserve">We will prepare a responding mark-up (v3) reflecting the above once you confirm the cap and payment-term positions.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color w:val="808080"/>
        <w:sz w:val="13"/>
        <w:szCs w:val="13"/>
      </w:rPr>
      <w:t xml:space="preserve">Whitfield Carter LLP, 22 Bishopsgate, London EC2N 4BQ. Confidential and may be legally privileged.</w:t>
    </w:r>
  </w:p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120"/>
      <w:jc w:val="center"/>
    </w:pPr>
    <w:rPr>
      <w:rFonts w:ascii="Calibri" w:cs="Calibri" w:eastAsia="Calibri" w:hAnsi="Calibri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2026-06-26T20:53:34.455Z</dcterms:created>
  <dcterms:modified xsi:type="dcterms:W3CDTF">2026-06-26T20:53:34.455Z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