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HEADS OF TERMS</w:t>
      </w:r>
    </w:p>
    <w:p>
      <w:pPr>
        <w:spacing w:after="60"/>
        <w:jc w:val="center"/>
      </w:pPr>
      <w:r>
        <w:t xml:space="preserve">Caspian Atlas — SaaS Subscription and Emissions Data Licence</w:t>
      </w:r>
    </w:p>
    <w:p>
      <w:pPr>
        <w:spacing w:after="200"/>
        <w:jc w:val="center"/>
      </w:pPr>
      <w:r>
        <w:rPr>
          <w:i/>
          <w:iCs/>
        </w:rPr>
        <w:t xml:space="preserve">20 October 2025  —  Subject to Contract</w:t>
      </w:r>
    </w:p>
    <w:p>
      <w:pPr>
        <w:spacing w:after="120" w:line="276"/>
      </w:pPr>
      <w:r>
        <w:t xml:space="preserve">These heads of terms record the principal commercial terms agreed in principle between Caspian Technologies Limited (Supplier) and Harborlight Retail Group plc (Customer). They are not legally binding except for the confidentiality and exclusivity paragraphs, and are subject to a definitive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left"/>
            </w:pPr>
            <w:r>
              <w:rPr>
                <w:b/>
                <w:bCs/>
              </w:rPr>
              <w:t xml:space="preserve">Item</w:t>
            </w:r>
          </w:p>
        </w:tc>
        <w:tc>
          <w:tcPr>
            <w:tcW w:type="dxa" w:w="67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left"/>
            </w:pPr>
            <w:r>
              <w:rPr>
                <w:b/>
                <w:bCs/>
              </w:rPr>
              <w:t xml:space="preserve">Agreed position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Services</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Subscription to Caspian Atlas carbon-analytics platform plus licence of the Scope 3 emissions dataset; onboarding and integration with Customer ERP.</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Named users</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150 named users included; additional users at £480 per user per year.</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Initial term</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 years from Go-Live, auto-renewing for 12-month terms (90 days' notice).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Platform fee (Year 1)</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£285,000 p.a., with 4% annual uplift in Years 2 and 3.</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Data licence fee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£95,000 p.a.</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Onboarding (one-off)</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£60,000.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Premium support</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£38,000 p.a. (optional uplift).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Payment terms</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Annual in advance; net 30 days (Customer requested net 45 — to be negotiated).</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SLA uptime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99.7% monthly availability target (Customer seeking 99.9%).</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Liability cap</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To be agreed — Supplier proposes 100% of annual fees; Customer seeking 200%.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Governing law</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England and Wales.</w:t>
            </w:r>
          </w:p>
        </w:tc>
      </w:tr>
    </w:tbl>
    <w:p>
      <w:pPr>
        <w:spacing w:before="160"/>
      </w:pPr>
      <w:r>
        <w:t xml:space="preserve">Exclusivity: the Customer agrees not to negotiate with alternative providers of an equivalent carbon-analytics platform for 45 days from the date of these heads of terms.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22 Bishopsgate, London EC2N 4BQ.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2026-06-26T20:53:34.424Z</dcterms:created>
  <dcterms:modified xsi:type="dcterms:W3CDTF">2026-06-26T20:53:34.424Z</dcterms:modified>
</cp:coreProperties>
</file>

<file path=docProps/custom.xml><?xml version="1.0" encoding="utf-8"?>
<Properties xmlns="http://schemas.openxmlformats.org/officeDocument/2006/custom-properties" xmlns:vt="http://schemas.openxmlformats.org/officeDocument/2006/docPropsVTypes"/>
</file>