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MUTUAL NON-DISCLOSURE AGREEMENT</w:t>
      </w:r>
    </w:p>
    <w:p>
      <w:pPr>
        <w:spacing w:after="200"/>
        <w:jc w:val="center"/>
      </w:pPr>
      <w:r>
        <w:rPr>
          <w:i/>
          <w:iCs/>
        </w:rPr>
        <w:t xml:space="preserve">8 October 2025</w:t>
      </w:r>
    </w:p>
    <w:p>
      <w:pPr>
        <w:spacing w:after="120"/>
      </w:pPr>
      <w:r>
        <w:rPr>
          <w:b/>
          <w:bCs/>
        </w:rPr>
        <w:t xml:space="preserve">PARTIES</w:t>
      </w:r>
    </w:p>
    <w:p>
      <w:pPr>
        <w:spacing w:after="80"/>
        <w:ind w:left="540" w:hanging="540"/>
      </w:pPr>
      <w:r>
        <w:t xml:space="preserve">(1)	</w:t>
      </w:r>
      <w:r>
        <w:rPr>
          <w:b/>
          <w:bCs/>
        </w:rPr>
        <w:t xml:space="preserve">Caspian Technologies Limited</w:t>
      </w:r>
      <w:r>
        <w:t xml:space="preserve"> of 8 Finsbury Circus, London EC2M 7EA; and</w:t>
      </w:r>
    </w:p>
    <w:p>
      <w:pPr>
        <w:spacing w:after="160"/>
        <w:ind w:left="540" w:hanging="540"/>
      </w:pPr>
      <w:r>
        <w:t xml:space="preserve">(2)	</w:t>
      </w:r>
      <w:r>
        <w:rPr>
          <w:b/>
          <w:bCs/>
        </w:rPr>
        <w:t xml:space="preserve">Harborlight Retail Group plc</w:t>
      </w:r>
      <w:r>
        <w:t xml:space="preserve"> of Harborlight House, 140 Cannon Street, London EC4N 6AG.</w:t>
      </w:r>
    </w:p>
    <w:p>
      <w:pPr>
        <w:keepNext/>
        <w:spacing w:after="100" w:before="220"/>
      </w:pPr>
      <w:r>
        <w:rPr>
          <w:b/>
          <w:bCs/>
        </w:rPr>
        <w:t xml:space="preserve">1.	</w:t>
      </w:r>
      <w:r>
        <w:rPr>
          <w:b/>
          <w:bCs/>
        </w:rPr>
        <w:t xml:space="preserve">Purpose</w:t>
      </w:r>
    </w:p>
    <w:p>
      <w:pPr>
        <w:spacing w:after="100" w:line="276"/>
        <w:ind w:left="720" w:hanging="540"/>
      </w:pPr>
      <w:r>
        <w:t xml:space="preserve">1.1	</w:t>
      </w:r>
      <w:r>
        <w:t xml:space="preserve">The parties wish to explore a potential commercial relationship under which the Supplier would provide its Caspian Atlas platform and emissions data to the Customer (the “Purpose”) and may disclose confidential information to each other.</w:t>
      </w:r>
    </w:p>
    <w:p>
      <w:pPr>
        <w:keepNext/>
        <w:spacing w:after="100" w:before="220"/>
      </w:pPr>
      <w:r>
        <w:rPr>
          <w:b/>
          <w:bCs/>
        </w:rPr>
        <w:t xml:space="preserve">2.	</w:t>
      </w:r>
      <w:r>
        <w:rPr>
          <w:b/>
          <w:bCs/>
        </w:rPr>
        <w:t xml:space="preserve">Confidential Information</w:t>
      </w:r>
    </w:p>
    <w:p>
      <w:pPr>
        <w:spacing w:after="100" w:line="276"/>
        <w:ind w:left="720" w:hanging="540"/>
      </w:pPr>
      <w:r>
        <w:t xml:space="preserve">2.1	</w:t>
      </w:r>
      <w:r>
        <w:t xml:space="preserve">“Confidential Information” means any information disclosed by one party (the Discloser) to the other (the Recipient), whether orally, in writing or otherwise, that is marked or would reasonably be regarded as confidential, including commercial terms, pricing, product roadmaps and the Emissions Data methodology.</w:t>
      </w:r>
    </w:p>
    <w:p>
      <w:pPr>
        <w:spacing w:after="100" w:line="276"/>
        <w:ind w:left="720" w:hanging="540"/>
      </w:pPr>
      <w:r>
        <w:t xml:space="preserve">2.2	</w:t>
      </w:r>
      <w:r>
        <w:t xml:space="preserve">Confidential Information does not include information that is or becomes public other than through breach, was lawfully known to the Recipient before disclosure, or is independently developed.</w:t>
      </w:r>
    </w:p>
    <w:p>
      <w:pPr>
        <w:keepNext/>
        <w:spacing w:after="100" w:before="220"/>
      </w:pPr>
      <w:r>
        <w:rPr>
          <w:b/>
          <w:bCs/>
        </w:rPr>
        <w:t xml:space="preserve">3.	</w:t>
      </w:r>
      <w:r>
        <w:rPr>
          <w:b/>
          <w:bCs/>
        </w:rPr>
        <w:t xml:space="preserve">Obligations</w:t>
      </w:r>
    </w:p>
    <w:p>
      <w:pPr>
        <w:spacing w:after="100" w:line="276"/>
        <w:ind w:left="720" w:hanging="540"/>
      </w:pPr>
      <w:r>
        <w:t xml:space="preserve">3.1	</w:t>
      </w:r>
      <w:r>
        <w:t xml:space="preserve">The Recipient shall keep the Confidential Information secret, use it only for the Purpose, and disclose it only to those of its officers, employees and advisers who need to know it and who are bound by equivalent obligations.</w:t>
      </w:r>
    </w:p>
    <w:p>
      <w:pPr>
        <w:spacing w:after="100" w:line="276"/>
        <w:ind w:left="720" w:hanging="540"/>
      </w:pPr>
      <w:r>
        <w:t xml:space="preserve">3.2	</w:t>
      </w:r>
      <w:r>
        <w:t xml:space="preserve">The Recipient shall not make any announcement concerning the Purpose without the Discloser’s prior written consent.</w:t>
      </w:r>
    </w:p>
    <w:p>
      <w:pPr>
        <w:keepNext/>
        <w:spacing w:after="100" w:before="220"/>
      </w:pPr>
      <w:r>
        <w:rPr>
          <w:b/>
          <w:bCs/>
        </w:rPr>
        <w:t xml:space="preserve">4.	</w:t>
      </w:r>
      <w:r>
        <w:rPr>
          <w:b/>
          <w:bCs/>
        </w:rPr>
        <w:t xml:space="preserve">Return and term</w:t>
      </w:r>
    </w:p>
    <w:p>
      <w:pPr>
        <w:spacing w:after="100" w:line="276"/>
        <w:ind w:left="720" w:hanging="540"/>
      </w:pPr>
      <w:r>
        <w:t xml:space="preserve">4.1	</w:t>
      </w:r>
      <w:r>
        <w:t xml:space="preserve">On written request the Recipient shall return or destroy the Confidential Information. The obligations in this Agreement continue for three years from the date of disclosure.</w:t>
      </w:r>
    </w:p>
    <w:p>
      <w:pPr>
        <w:keepNext/>
        <w:spacing w:after="100" w:before="220"/>
      </w:pPr>
      <w:r>
        <w:rPr>
          <w:b/>
          <w:bCs/>
        </w:rPr>
        <w:t xml:space="preserve">5.	</w:t>
      </w:r>
      <w:r>
        <w:rPr>
          <w:b/>
          <w:bCs/>
        </w:rPr>
        <w:t xml:space="preserve">General</w:t>
      </w:r>
    </w:p>
    <w:p>
      <w:pPr>
        <w:spacing w:after="100" w:line="276"/>
        <w:ind w:left="720" w:hanging="540"/>
      </w:pPr>
      <w:r>
        <w:t xml:space="preserve">5.1	</w:t>
      </w:r>
      <w:r>
        <w:t xml:space="preserve">This Agreement is governed by the law of England and Wales and the parties submit to the exclusive jurisdiction of the English courts. No party acquires any licence in the other’s intellectual property under this Agreement.</w:t>
      </w:r>
    </w:p>
    <w:p>
      <w:pPr>
        <w:spacing w:before="300"/>
      </w:pPr>
      <w:r>
        <w:t xml:space="preserve">Signed for and on behalf of Caspian Technologies Limited: ……………………………</w:t>
      </w:r>
    </w:p>
    <w:p>
      <w:pPr>
        <w:spacing w:before="160"/>
      </w:pPr>
      <w:r>
        <w:t xml:space="preserve">Signed for and on behalf of Harborlight Retail Group plc: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80"/>
    </w:pPr>
    <w:r>
      <w:rPr>
        <w:color w:val="808080"/>
        <w:sz w:val="13"/>
        <w:szCs w:val="13"/>
      </w:rPr>
      <w:t xml:space="preserve">Whitfield Carter LLP, 22 Bishopsgate, London EC2N 4BQ. Confidential and may be legally privileged.</w:t>
    </w:r>
  </w:p>
  <w:p>
    <w:pPr>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120"/>
      <w:jc w:val="center"/>
    </w:pPr>
    <w:rPr>
      <w:rFonts w:ascii="Calibri" w:cs="Calibri" w:eastAsia="Calibri" w:hAnsi="Calibri"/>
      <w:b/>
      <w:bCs/>
      <w:sz w:val="30"/>
      <w:szCs w:val="30"/>
    </w:rPr>
  </w:style>
  <w:style w:type="paragraph" w:styleId="Heading1">
    <w:name w:val="Heading 1"/>
    <w:basedOn w:val="Normal"/>
    <w:next w:val="Normal"/>
    <w:qFormat/>
    <w:pPr>
      <w:spacing w:after="140" w:before="260"/>
      <w:outlineLvl w:val="0"/>
    </w:pPr>
    <w:rPr>
      <w:rFonts w:ascii="Calibri" w:cs="Calibri" w:eastAsia="Calibri" w:hAnsi="Calibri"/>
      <w:b/>
      <w:bCs/>
      <w:sz w:val="24"/>
      <w:szCs w:val="24"/>
    </w:rPr>
  </w:style>
  <w:style w:type="paragraph" w:styleId="Heading2">
    <w:name w:val="Heading 2"/>
    <w:basedOn w:val="Normal"/>
    <w:next w:val="Normal"/>
    <w:qFormat/>
    <w:pPr>
      <w:spacing w:after="100" w:before="18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2026-06-26T20:53:34.368Z</dcterms:created>
  <dcterms:modified xsi:type="dcterms:W3CDTF">2026-06-26T20:53:34.368Z</dcterms:modified>
</cp:coreProperties>
</file>

<file path=docProps/custom.xml><?xml version="1.0" encoding="utf-8"?>
<Properties xmlns="http://schemas.openxmlformats.org/officeDocument/2006/custom-properties" xmlns:vt="http://schemas.openxmlformats.org/officeDocument/2006/docPropsVTypes"/>
</file>