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SCHEDULE 1 — STATEMENT OF WORK</w:t>
      </w:r>
    </w:p>
    <w:p>
      <w:pPr>
        <w:pStyle w:val="Heading1"/>
      </w:pPr>
      <w:r>
        <w:t xml:space="preserve">1. Platform description</w:t>
      </w:r>
    </w:p>
    <w:p>
      <w:pPr>
        <w:spacing w:after="120" w:line="276"/>
      </w:pPr>
      <w:r>
        <w:t xml:space="preserve">Caspian Atlas is a multi-tenant, cloud-hosted carbon-accounting platform providing: organisation-wide greenhouse-gas inventory (Scopes 1, 2 and 3); supplier-level emissions analytics; scenario modelling and reduction-target tracking; and automated reporting aligned to the GHG Protocol and applicable disclosure frameworks.</w:t>
      </w:r>
    </w:p>
    <w:p>
      <w:pPr>
        <w:pStyle w:val="Heading1"/>
      </w:pPr>
      <w:r>
        <w:t xml:space="preserve">2. Modules provisioned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Carbon Inventory (Scopes 1–3)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Supply-Chain (Scope 3) Analytics with Emissions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Reduction Pathways &amp; Target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Disclosure Reporting Pack (CSRD/SECR-ready exports)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Data Connectors: SAP, NetSuite and CSV ingestion</w:t>
      </w:r>
    </w:p>
    <w:p>
      <w:pPr>
        <w:pStyle w:val="Heading1"/>
      </w:pPr>
      <w:r>
        <w:t xml:space="preserve">3. Onboarding and implementation</w:t>
      </w:r>
    </w:p>
    <w:p>
      <w:pPr>
        <w:spacing w:after="120" w:line="276"/>
      </w:pPr>
      <w:r>
        <w:t xml:space="preserve">Onboarding runs for an estimated 10 weeks from kick-off and comprises the work streams below. The one-off onboarding fee is £60,000.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Discovery (Wk 1–2)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Data-source mapping, ERP connector scoping, user provisioning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Onboarding plan signed off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(Wk 3–6)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Connector configuration, historical data load (2 baseline years), emissions-factor mapping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Configured tenant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 (Wk 7–8)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footprint reconciliation, user acceptance testing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UAT sign-off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Go-Live (Wk 9–10)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 cutover, admin training (2 sessions), hypercare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Go-Live confirmation</w:t>
            </w:r>
          </w:p>
        </w:tc>
      </w:tr>
    </w:tbl>
    <w:p>
      <w:pPr>
        <w:pStyle w:val="Heading1"/>
      </w:pPr>
      <w:r>
        <w:t xml:space="preserve">4. Customer responsibilities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Nominate a project sponsor and a data lead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Provide timely access to source systems and supplier spend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Complete user acceptance testing within 10 business days of release</w:t>
      </w:r>
    </w:p>
    <w:p>
      <w:pPr>
        <w:spacing w:after="120" w:line="276"/>
      </w:pPr>
      <w:r>
        <w:t xml:space="preserve">Target Go-Live Date: 9 February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color w:val="808080"/>
        <w:sz w:val="13"/>
        <w:szCs w:val="13"/>
      </w:rPr>
      <w:t xml:space="preserve">Whitfield Carter LLP, 22 Bishopsgate, London EC2N 4BQ. Confidential and may be legally privileged.</w:t>
    </w:r>
  </w:p>
  <w:p>
    <w:pP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Schedule 1 —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 w:before="120"/>
      <w:jc w:val="center"/>
    </w:pPr>
    <w:rPr>
      <w:rFonts w:ascii="Calibri" w:cs="Calibri" w:eastAsia="Calibri" w:hAnsi="Calibri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2026-06-26T20:53:34.434Z</dcterms:created>
  <dcterms:modified xsi:type="dcterms:W3CDTF">2026-06-26T20:53:34.434Z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