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SCHEDULE 3 — SERVICE LEVEL AGREEMENT</w:t>
      </w:r>
    </w:p>
    <w:p>
      <w:pPr>
        <w:pStyle w:val="Heading1"/>
      </w:pPr>
      <w:r>
        <w:t xml:space="preserve">1. Availability</w:t>
      </w:r>
    </w:p>
    <w:p>
      <w:pPr>
        <w:spacing w:after="120" w:line="276"/>
      </w:pPr>
      <w:r>
        <w:t xml:space="preserve">The Supplier shall use commercially reasonable endeavours to ensure that the Subscription Services are available at least 99.7% of the time, measured monthly, excluding Planned Maintenance and events of force majeure.</w:t>
      </w:r>
    </w:p>
    <w:p>
      <w:pPr>
        <w:pStyle w:val="Heading1"/>
      </w:pPr>
      <w:r>
        <w:t xml:space="preserve">2. Service credits</w:t>
      </w:r>
    </w:p>
    <w:p>
      <w:pPr>
        <w:spacing w:after="120" w:line="276"/>
      </w:pPr>
      <w:r>
        <w:t xml:space="preserve">If monthly availability falls below the target, the Customer is entitled to service credits against the following month's platform fee, capped at 15% of one month's platform fee in any month: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Monthly availability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Service credit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99.7%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 met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99.0% – 99.7%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 of monthly platform fee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98.0% – 99.0%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 of monthly platform fee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 98.0%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15% of monthly platform fee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Credit cap</w:t>
            </w:r>
          </w:p>
        </w:tc>
      </w:tr>
    </w:tbl>
    <w:p>
      <w:pPr>
        <w:pStyle w:val="Heading1"/>
      </w:pPr>
      <w:r>
        <w:t xml:space="preserve">3. Support response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 / target fix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Critical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 unavailable; no workaround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min response / 4 hrs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High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Major function impaired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hrs / 1 Business Day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Medium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Minor function impaired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Business Day / 5 Business Days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P4 Low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Query or cosmetic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Business Days / next release</w:t>
            </w:r>
          </w:p>
        </w:tc>
      </w:tr>
    </w:tbl>
    <w:p>
      <w:pPr>
        <w:pStyle w:val="Heading1"/>
      </w:pPr>
      <w:r>
        <w:t xml:space="preserve">4. Premium support</w:t>
      </w:r>
    </w:p>
    <w:p>
      <w:pPr>
        <w:spacing w:after="120" w:line="276"/>
      </w:pPr>
      <w:r>
        <w:t xml:space="preserve">Where the Customer subscribes to Premium Support (£38,000 p.a.), support is provided 24×7 for P1 incidents and a named customer-success manager is allocated. Otherwise support is provided during Normal Business Hours.</w:t>
      </w:r>
    </w:p>
    <w:p>
      <w:pPr>
        <w:pStyle w:val="Heading1"/>
      </w:pPr>
      <w:r>
        <w:t xml:space="preserve">5. Planned maintenance</w:t>
      </w:r>
    </w:p>
    <w:p>
      <w:pPr>
        <w:spacing w:after="120" w:line="276"/>
      </w:pPr>
      <w:r>
        <w:t xml:space="preserve">Planned Maintenance is scheduled outside Normal Business Hours with at least 5 Business Days' notice and does not count against the availability target.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color w:val="808080"/>
        <w:sz w:val="13"/>
        <w:szCs w:val="13"/>
      </w:rPr>
      <w:t xml:space="preserve">Whitfield Carter LLP, 22 Bishopsgate, London EC2N 4BQ. Confidential and may be legally privileged.</w:t>
    </w:r>
  </w:p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Schedule 3 — SLA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120"/>
      <w:jc w:val="center"/>
    </w:pPr>
    <w:rPr>
      <w:rFonts w:ascii="Calibri" w:cs="Calibri" w:eastAsia="Calibri" w:hAnsi="Calibri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2026-06-26T20:53:34.443Z</dcterms:created>
  <dcterms:modified xsi:type="dcterms:W3CDTF">2026-06-26T20:53:34.443Z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