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SCHEDULE 4 — DATA PROCESSING AGREEMENT</w:t>
      </w:r>
    </w:p>
    <w:p>
      <w:pPr>
        <w:spacing w:after="120" w:line="276"/>
      </w:pPr>
      <w:r>
        <w:t xml:space="preserve">This Data Processing Agreement (DPA) forms part of the Agreement and applies where the Supplier processes personal data on behalf of the Customer in connection with the Services. Terms defined in the UK GDPR have the same meaning here.</w:t>
      </w:r>
    </w:p>
    <w:p>
      <w:pPr>
        <w:pStyle w:val="Heading1"/>
      </w:pPr>
      <w:r>
        <w:t xml:space="preserve">1. Roles</w:t>
      </w:r>
    </w:p>
    <w:p>
      <w:pPr>
        <w:spacing w:after="120" w:line="276"/>
      </w:pPr>
      <w:r>
        <w:t xml:space="preserve">The Customer is the controller and the Supplier is the processor in respect of the Customer Personal Data described in Annex 1. The Supplier shall process Customer Personal Data only on documented instructions from the Customer.</w:t>
      </w:r>
    </w:p>
    <w:p>
      <w:pPr>
        <w:pStyle w:val="Heading1"/>
      </w:pPr>
      <w:r>
        <w:t xml:space="preserve">2. Processor obligations</w:t>
      </w:r>
    </w:p>
    <w:p>
      <w:pPr>
        <w:pStyle w:val="ListParagraph"/>
        <w:numPr>
          <w:ilvl w:val="0"/>
          <w:numId w:val="2"/>
        </w:numPr>
        <w:spacing w:after="80" w:line="276"/>
      </w:pPr>
      <w:r>
        <w:t xml:space="preserve">Process personal data only for the purpose of providing the Services and on the Customer's instructions</w:t>
      </w:r>
    </w:p>
    <w:p>
      <w:pPr>
        <w:pStyle w:val="ListParagraph"/>
        <w:numPr>
          <w:ilvl w:val="0"/>
          <w:numId w:val="2"/>
        </w:numPr>
        <w:spacing w:after="80" w:line="276"/>
      </w:pPr>
      <w:r>
        <w:t xml:space="preserve">Ensure persons authorised to process the data are bound by confidentiality</w:t>
      </w:r>
    </w:p>
    <w:p>
      <w:pPr>
        <w:pStyle w:val="ListParagraph"/>
        <w:numPr>
          <w:ilvl w:val="0"/>
          <w:numId w:val="2"/>
        </w:numPr>
        <w:spacing w:after="80" w:line="276"/>
      </w:pPr>
      <w:r>
        <w:t xml:space="preserve">Implement appropriate technical and organisational measures (Annex 2)</w:t>
      </w:r>
    </w:p>
    <w:p>
      <w:pPr>
        <w:pStyle w:val="ListParagraph"/>
        <w:numPr>
          <w:ilvl w:val="0"/>
          <w:numId w:val="2"/>
        </w:numPr>
        <w:spacing w:after="80" w:line="276"/>
      </w:pPr>
      <w:r>
        <w:t xml:space="preserve">Assist the Customer with data-subject requests and with security, breach-notification and DPIA obligations</w:t>
      </w:r>
    </w:p>
    <w:p>
      <w:pPr>
        <w:pStyle w:val="ListParagraph"/>
        <w:numPr>
          <w:ilvl w:val="0"/>
          <w:numId w:val="2"/>
        </w:numPr>
        <w:spacing w:after="80" w:line="276"/>
      </w:pPr>
      <w:r>
        <w:t xml:space="preserve">Notify the Customer without undue delay, and in any event within 48 hours, on becoming aware of a personal-data breach</w:t>
      </w:r>
    </w:p>
    <w:p>
      <w:pPr>
        <w:pStyle w:val="ListParagraph"/>
        <w:numPr>
          <w:ilvl w:val="0"/>
          <w:numId w:val="2"/>
        </w:numPr>
        <w:spacing w:after="80" w:line="276"/>
      </w:pPr>
      <w:r>
        <w:t xml:space="preserve">On termination, delete or return all personal data at the Customer's choice</w:t>
      </w:r>
    </w:p>
    <w:p>
      <w:pPr>
        <w:pStyle w:val="Heading1"/>
      </w:pPr>
      <w:r>
        <w:t xml:space="preserve">3. Sub-processors</w:t>
      </w:r>
    </w:p>
    <w:p>
      <w:pPr>
        <w:spacing w:after="120" w:line="276"/>
      </w:pPr>
      <w:r>
        <w:t xml:space="preserve">The Customer gives general authorisation to the engagement of sub-processors listed in Annex 3 (cloud hosting and email-delivery providers). The Supplier shall give 30 days' notice of any intended change and the Customer may object on reasonable data-protection grounds.</w:t>
      </w:r>
    </w:p>
    <w:p>
      <w:pPr>
        <w:pStyle w:val="Heading1"/>
      </w:pPr>
      <w:r>
        <w:t xml:space="preserve">4. International transfers</w:t>
      </w:r>
    </w:p>
    <w:p>
      <w:pPr>
        <w:spacing w:after="120" w:line="276"/>
      </w:pPr>
      <w:r>
        <w:t xml:space="preserve">The Supplier shall not transfer Customer Personal Data outside the UK without an appropriate transfer mechanism (such as the International Data Transfer Agreement or UK Addendum to the EU Standard Contractual Clauses).</w:t>
      </w:r>
    </w:p>
    <w:p>
      <w:pPr>
        <w:pStyle w:val="Heading1"/>
      </w:pPr>
      <w:r>
        <w:t xml:space="preserve">Annex 1 — Processing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left"/>
            </w:pPr>
            <w:r>
              <w:rPr>
                <w:b/>
                <w:bCs/>
              </w:rPr>
              <w:t xml:space="preserve">Subject matter</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Provision of the Caspian Atlas Services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Duration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Term of the Agreement plus 30 days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Categories of data subject</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Customer's employees who are Authorised Users; supplier contacts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Categories of personal data</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Name, business email, job title, system usage logs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Special category data</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None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22 Bishopsgate, London EC2N 4BQ.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Schedule 4 — DPA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2026-06-26T20:53:34.450Z</dcterms:created>
  <dcterms:modified xsi:type="dcterms:W3CDTF">2026-06-26T20:53:34.450Z</dcterms:modified>
</cp:coreProperties>
</file>

<file path=docProps/custom.xml><?xml version="1.0" encoding="utf-8"?>
<Properties xmlns="http://schemas.openxmlformats.org/officeDocument/2006/custom-properties" xmlns:vt="http://schemas.openxmlformats.org/officeDocument/2006/docPropsVTypes"/>
</file>