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0"/>
          <w:szCs w:val="20"/>
        </w:rPr>
        <w:t xml:space="preserve">PRIVILEGED &amp; CONFIDENTIAL – LEGAL ADVICE</w:t>
      </w:r>
    </w:p>
    <w:p>
      <w:pPr>
        <w:spacing w:after="200"/>
      </w:pPr>
      <w:r>
        <w:rPr>
          <w:color w:val="555555"/>
          <w:sz w:val="18"/>
          <w:szCs w:val="18"/>
        </w:rPr>
        <w:t xml:space="preserve">Prepared by Whitfield Carter LLP for Caspian Technologies Limited</w:t>
      </w:r>
    </w:p>
    <w:p>
      <w:pPr>
        <w:pStyle w:val="Heading1"/>
      </w:pPr>
      <w:r>
        <w:t xml:space="preserve">Advice Note: Hollis exit – litigation risk and settlement strategy</w:t>
      </w:r>
    </w:p>
    <w:p>
      <w:pPr>
        <w:spacing w:after="120"/>
      </w:pPr>
      <w:r>
        <w:t xml:space="preserve">To: Sofia Trevino (General Counsel), Maya Patel (CFO)</w:t>
      </w:r>
    </w:p>
    <w:p>
      <w:pPr>
        <w:spacing w:after="120"/>
      </w:pPr>
      <w:r>
        <w:t xml:space="preserve">From: Sarah Whitfield, Partner; James Osei, Senior Associate</w:t>
      </w:r>
    </w:p>
    <w:p>
      <w:pPr>
        <w:spacing w:after="120"/>
      </w:pPr>
      <w:r>
        <w:t xml:space="preserve">Date: 28 November 2025</w:t>
      </w:r>
    </w:p>
    <w:p>
      <w:pPr>
        <w:spacing w:after="120"/>
      </w:pPr>
      <w:r>
        <w:t xml:space="preserve">Matter: WC-00167 – Caspian / Hollis Settlement</w:t>
      </w:r>
    </w:p>
    <w:p>
      <w:pPr>
        <w:pStyle w:val="Heading2"/>
      </w:pPr>
      <w:r>
        <w:t xml:space="preserve">1. Executive summary</w:t>
      </w:r>
    </w:p>
    <w:p>
      <w:pPr>
        <w:spacing w:after="120"/>
      </w:pPr>
      <w:r>
        <w:t xml:space="preserve">We assess the Company’s exposure on Mr Hollis’s potential claims as moderate. The principal risk is not ordinary unfair dismissal (where any award is capped) but an uncapped automatic-unfair-dismissal / detriment claim under sections 103A and 47B of the Employment Rights Act 1996 founded on his August 2025 protected disclosure regarding revenue recognition on the Stratton Energy contract. While we consider the redundancy is genuine and the business case sound, the temporal proximity between the disclosure and the reorganisation creates evidential risk. We recommend opening at a core package of around £192,000 gross (notice/PILON, statutory redundancy, ex gratia and bonus) and have authority to a ceiling of £215,000 gross on the core taxable package, before legal-costs contribution and covenant consideration.</w:t>
      </w:r>
    </w:p>
    <w:p>
      <w:pPr>
        <w:pStyle w:val="Heading2"/>
      </w:pPr>
      <w:r>
        <w:t xml:space="preserve">2. The protected disclosure point</w:t>
      </w:r>
    </w:p>
    <w:p>
      <w:pPr>
        <w:spacing w:after="120"/>
      </w:pPr>
      <w:r>
        <w:t xml:space="preserve">Mr Hollis raised, in August 2025, a concern that revenue on the multi-year Stratton Energy contract was being recognised up front rather than over the life of the contract. That is capable of being a qualifying disclosure (breach of a legal obligation / misleading of auditors). The Audit Committee investigated and the treatment was adjusted. The disclosure therefore appears to have been made in good faith and acted upon, which cuts both ways: it strengthens the “protected” characterisation but also supports our case that the Company responded properly and did not victimise him.</w:t>
      </w:r>
    </w:p>
    <w:p>
      <w:pPr>
        <w:pStyle w:val="Heading2"/>
      </w:pPr>
      <w:r>
        <w:t xml:space="preserve">3. Redundancy</w:t>
      </w:r>
    </w:p>
    <w:p>
      <w:pPr>
        <w:spacing w:after="120"/>
      </w:pPr>
      <w:r>
        <w:t xml:space="preserve">The reorganisation merging the CRO and VP Commercial roles into a single CCO role is supported by contemporaneous board papers (6 November 2025) and a genuine cost rationale. Provided the pooling, selection and consultation are handled correctly, ordinary unfair dismissal risk is low. The Company has consulted and offered the grievance/appeal process.</w:t>
      </w:r>
    </w:p>
    <w:p>
      <w:pPr>
        <w:pStyle w:val="Heading2"/>
      </w:pPr>
      <w:r>
        <w:t xml:space="preserve">4. Quantum</w:t>
      </w:r>
    </w:p>
    <w:p>
      <w:pPr>
        <w:spacing w:after="120"/>
      </w:pPr>
      <w:r>
        <w:t xml:space="preserve">Ordinary unfair dismissal: basic award circa £8,400 (mirrored by the statutory redundancy payment) plus a compensatory award capped at the lower of 52 weeks’ gross pay or the statutory cap. Given his salary (£190,000), the statutory cap (currently c.£115,000) would bite. An automatic-unfair / detriment claim is uncapped and could, on a worst-case basis with injury to feelings and a long loss period, reach £260,000–£320,000, though we consider that unlikely. His solicitors’ schedule of loss pleads circa £197,000. A reasonable settlement reflecting litigation risk and costs is a core taxable package of £190,000–£210,000.</w:t>
      </w:r>
    </w:p>
    <w:p>
      <w:pPr>
        <w:pStyle w:val="Heading2"/>
      </w:pPr>
      <w:r>
        <w:t xml:space="preserve">5. Restrictive covenants</w:t>
      </w:r>
    </w:p>
    <w:p>
      <w:pPr>
        <w:spacing w:after="120"/>
      </w:pPr>
      <w:r>
        <w:t xml:space="preserve">The twelve-month non-compete in clause 18.2 of his service agreement is, in our view, longer than necessary to protect the Company’s legitimate interests and carries some enforceability risk for a sales executive. We recommend offering to reduce it to six months as part of the package; this is a low-cost concession that materially improves the prospects of enforcing the (more important) twelve-month customer and employee non-solicitation covenants.</w:t>
      </w:r>
    </w:p>
    <w:p>
      <w:pPr>
        <w:pStyle w:val="Heading2"/>
      </w:pPr>
      <w:r>
        <w:t xml:space="preserve">6. Recommendation</w:t>
      </w:r>
    </w:p>
    <w:p>
      <w:pPr>
        <w:spacing w:after="120"/>
      </w:pPr>
      <w:r>
        <w:t xml:space="preserve">Open without prejudice with a core package of £192,650 gross (notice/PILON £95,000 + statutory redundancy £8,400 + ex gratia £75,000 + bonus £14,250), structured so the first £30,000 of the redundancy and ex gratia is paid free of tax, reduce the non-compete to six months, secure the full waiver and warranties, and hold authority to a ceiling of £215,000 gross on the core taxable package. Maintain the position that the redundancy is genuine and that the protected disclosure was handled properly.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Whitfield Carter LLP is a limited liability partnership registered in England &amp; Wales (OC418325)</w:t>
    </w:r>
  </w:p>
  <w:p>
    <w:pPr>
      <w:jc w:val="center"/>
    </w:pPr>
    <w:r>
      <w:rPr>
        <w:color w:val="888888"/>
        <w:sz w:val="14"/>
        <w:szCs w:val="14"/>
      </w:rPr>
      <w:t xml:space="preserve">Confidential and may be legally privileged.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2026-06-28T19:42:50.928Z</dcterms:created>
  <dcterms:modified xsi:type="dcterms:W3CDTF">2026-06-28T19:42:50.928Z</dcterms:modified>
</cp:coreProperties>
</file>

<file path=docProps/custom.xml><?xml version="1.0" encoding="utf-8"?>
<Properties xmlns="http://schemas.openxmlformats.org/officeDocument/2006/custom-properties" xmlns:vt="http://schemas.openxmlformats.org/officeDocument/2006/docPropsVTypes"/>
</file>