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sz w:val="18"/>
          <w:szCs w:val="18"/>
        </w:rPr>
        <w:t xml:space="preserve">Our ref: SW/EM/CASP-0167</w:t>
      </w:r>
    </w:p>
    <w:p>
      <w:pPr>
        <w:spacing w:after="160"/>
        <w:jc w:val="right"/>
      </w:pPr>
      <w:r>
        <w:rPr>
          <w:sz w:val="18"/>
          <w:szCs w:val="18"/>
        </w:rPr>
        <w:t xml:space="preserve">Your ref: MA/GH/2025</w:t>
      </w:r>
    </w:p>
    <w:p>
      <w:pPr>
        <w:spacing w:after="120"/>
      </w:pPr>
      <w:r>
        <w:t xml:space="preserve">3 December 2025</w:t>
      </w:r>
    </w:p>
    <w:p>
      <w:pPr>
        <w:spacing w:after="120"/>
      </w:pPr>
      <w:r>
        <w:t xml:space="preserve">Mr Marcus Ashworth</w:t>
      </w:r>
    </w:p>
    <w:p>
      <w:pPr>
        <w:spacing w:after="120"/>
      </w:pPr>
      <w:r>
        <w:t xml:space="preserve">Ashworth Quinn LLP</w:t>
      </w:r>
    </w:p>
    <w:p>
      <w:pPr>
        <w:spacing w:after="120"/>
      </w:pPr>
      <w:r>
        <w:t xml:space="preserve">14 Carey Street, London WC2A 2JR</w:t>
      </w:r>
    </w:p>
    <w:p>
      <w:pPr>
        <w:spacing w:after="200"/>
      </w:pPr>
      <w:r>
        <w:rPr>
          <w:i/>
          <w:iCs/>
        </w:rPr>
        <w:t xml:space="preserve">By email only: marcus.ashworth@ashworthquinn.com</w:t>
      </w:r>
    </w:p>
    <w:p>
      <w:pPr>
        <w:spacing w:after="60"/>
      </w:pPr>
      <w:r>
        <w:rPr>
          <w:b/>
          <w:bCs/>
        </w:rPr>
        <w:t xml:space="preserve">WITHOUT PREJUDICE AND SUBJECT TO CONTRACT</w:t>
      </w:r>
    </w:p>
    <w:p>
      <w:pPr>
        <w:spacing w:after="120"/>
      </w:pPr>
      <w:r>
        <w:rPr>
          <w:b w:val="false"/>
          <w:bCs w:val="false"/>
        </w:rPr>
        <w:t xml:space="preserve">Dear Mr Ashworth</w:t>
      </w:r>
    </w:p>
    <w:p>
      <w:pPr>
        <w:spacing w:after="160"/>
      </w:pPr>
      <w:r>
        <w:rPr>
          <w:b/>
          <w:bCs/>
        </w:rPr>
        <w:t xml:space="preserve">Mr Gareth Hollis – termination of employment with Caspian Technologies Limited</w:t>
      </w:r>
    </w:p>
    <w:p>
      <w:pPr>
        <w:spacing w:after="120"/>
      </w:pPr>
      <w:r>
        <w:t xml:space="preserve">We act for Caspian Technologies Limited (the “Company”). We understand that you act for Mr Gareth Hollis, formerly the Company’s Chief Revenue Officer. This letter is written on a without prejudice basis and is not to be referred to in any proceedings save in relation to costs under the principle in Calderbank v Calderbank.</w:t>
      </w:r>
    </w:p>
    <w:p>
      <w:pPr>
        <w:spacing w:after="120"/>
      </w:pPr>
      <w:r>
        <w:t xml:space="preserve">As you know, the Company and your client have been in discussion regarding the orderly conclusion of his employment following the reorganisation of the Company’s commercial function announced on 6 November 2025. The Company’s position is that your client’s role has become genuinely redundant. Your client has intimated potential claims of unfair dismissal and, in correspondence of 24 November 2025, an allegation that the reorganisation was a pretext connected to his protected disclosure of August 2025. The Company does not accept that allegation but recognises the value to both parties of a clean and confidential separation.</w:t>
      </w:r>
    </w:p>
    <w:p>
      <w:pPr>
        <w:spacing w:after="120"/>
      </w:pPr>
      <w:r>
        <w:t xml:space="preserve">Without any admission of liability, and in full and final settlement of all claims, the Company is willing to offer the following terms:</w:t>
      </w:r>
    </w:p>
    <w:p>
      <w:pPr>
        <w:pStyle w:val="ListParagraph"/>
        <w:numPr>
          <w:ilvl w:val="0"/>
          <w:numId w:val="2"/>
        </w:numPr>
        <w:spacing w:after="80"/>
      </w:pPr>
      <w:r>
        <w:t xml:space="preserve">payment of contractual notice of six (6) months in lieu, amounting to £95,000 gross, subject to deductions for tax and National Insurance;</w:t>
      </w:r>
    </w:p>
    <w:p>
      <w:pPr>
        <w:pStyle w:val="ListParagraph"/>
        <w:numPr>
          <w:ilvl w:val="0"/>
          <w:numId w:val="2"/>
        </w:numPr>
        <w:spacing w:after="80"/>
      </w:pPr>
      <w:r>
        <w:t xml:space="preserve">a statutory redundancy payment of £8,400 and an enhanced ex gratia compensation payment of £75,000, the first £30,000 of the combined termination payment to be paid free of tax under sections 401–403 of the Income Tax (Earnings and Pensions) Act 2003 (subject to HMRC treatment);</w:t>
      </w:r>
    </w:p>
    <w:p>
      <w:pPr>
        <w:pStyle w:val="ListParagraph"/>
        <w:numPr>
          <w:ilvl w:val="0"/>
          <w:numId w:val="2"/>
        </w:numPr>
        <w:spacing w:after="80"/>
      </w:pPr>
      <w:r>
        <w:t xml:space="preserve">payment of accrued but untaken holiday (11.5 days) and bonus for the financial year to 31 October 2025 on a pro-rated basis, calculated at £14,250 gross;</w:t>
      </w:r>
    </w:p>
    <w:p>
      <w:pPr>
        <w:pStyle w:val="ListParagraph"/>
        <w:numPr>
          <w:ilvl w:val="0"/>
          <w:numId w:val="2"/>
        </w:numPr>
        <w:spacing w:after="80"/>
      </w:pPr>
      <w:r>
        <w:t xml:space="preserve">a contribution of £500 plus VAT towards your client’s legal costs of advising on the settlement agreement;</w:t>
      </w:r>
    </w:p>
    <w:p>
      <w:pPr>
        <w:pStyle w:val="ListParagraph"/>
        <w:numPr>
          <w:ilvl w:val="0"/>
          <w:numId w:val="2"/>
        </w:numPr>
        <w:spacing w:after="80"/>
      </w:pPr>
      <w:r>
        <w:t xml:space="preserve">an agreed reference in the form to be annexed to the settlement agreement; and</w:t>
      </w:r>
    </w:p>
    <w:p>
      <w:pPr>
        <w:pStyle w:val="ListParagraph"/>
        <w:numPr>
          <w:ilvl w:val="0"/>
          <w:numId w:val="2"/>
        </w:numPr>
        <w:spacing w:after="140"/>
      </w:pPr>
      <w:r>
        <w:t xml:space="preserve">a mutual non-derogatory statement and confidentiality provisions.</w:t>
      </w:r>
    </w:p>
    <w:p>
      <w:pPr>
        <w:spacing w:after="120"/>
      </w:pPr>
      <w:r>
        <w:t xml:space="preserve">In return the Company requires your client to enter into a settlement agreement in the usual form, including a full waiver of claims, reaffirmation of his post-termination restrictive covenants (as varied by paragraph below), and return of Company property. The Company is prepared, as a gesture of goodwill, to reduce the duration of the twelve (12) month non-compete covenant in your client’s service agreement to six (6) months from the Termination Date, provided your client gives the warranties sought.</w:t>
      </w:r>
    </w:p>
    <w:p>
      <w:pPr>
        <w:spacing w:after="120"/>
      </w:pPr>
      <w:r>
        <w:t xml:space="preserve">This offer is open for acceptance until 5.00pm on 17 December 2025, after which it is automatically withdrawn. The Company reserves its position fully should your client commence proceedings. We enclose a first draft of the proposed settlement agreement for your review.</w:t>
      </w:r>
    </w:p>
    <w:p>
      <w:pPr>
        <w:spacing w:after="120"/>
      </w:pPr>
      <w:r>
        <w:t xml:space="preserve">We look forward to hearing from you.</w:t>
      </w:r>
    </w:p>
    <w:p>
      <w:pPr>
        <w:spacing w:after="60" w:before="200"/>
      </w:pPr>
      <w:r>
        <w:t xml:space="preserve">Yours sincerely</w:t>
      </w:r>
    </w:p>
    <w:p>
      <w:pPr>
        <w:spacing w:before="200"/>
      </w:pPr>
      <w:r>
        <w:rPr>
          <w:b/>
          <w:bCs/>
        </w:rPr>
        <w:t xml:space="preserve">Sarah Whitfield</w:t>
      </w:r>
    </w:p>
    <w:p>
      <w:pPr>
        <w:spacing w:after="120"/>
      </w:pPr>
      <w:r>
        <w:t xml:space="preserve">Partner, Employment</w:t>
      </w:r>
    </w:p>
    <w:p>
      <w:pPr>
        <w:spacing w:after="120"/>
      </w:pPr>
      <w:r>
        <w:t xml:space="preserve">Whitfield Carter LLP</w:t>
      </w:r>
    </w:p>
    <w:p>
      <w:pPr>
        <w:spacing w:after="120"/>
      </w:pPr>
      <w:r>
        <w:t xml:space="preserve">sarah.whitfield@whitfieldcarter.com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Whitfield Carter LLP is a limited liability partnership registered in England &amp; Wales (OC418325)</w:t>
    </w:r>
  </w:p>
  <w:p>
    <w:pPr>
      <w:jc w:val="center"/>
    </w:pPr>
    <w:r>
      <w:rPr>
        <w:color w:val="888888"/>
        <w:sz w:val="14"/>
        <w:szCs w:val="14"/>
      </w:rPr>
      <w:t xml:space="preserve">Confidential and may be legally privileged.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8"/>
        <w:szCs w:val="28"/>
      </w:rPr>
      <w:t xml:space="preserve">Whitfield Carter LLP</w:t>
    </w:r>
  </w:p>
  <w:p>
    <w:pPr>
      <w:pBdr>
        <w:bottom w:val="single" w:color="2E4A7B" w:sz="6" w:space="6"/>
      </w:pBdr>
      <w:spacing w:after="200"/>
      <w:jc w:val="center"/>
    </w:pPr>
    <w:r>
      <w:rPr>
        <w:color w:val="555555"/>
        <w:sz w:val="16"/>
        <w:szCs w:val="16"/>
      </w:rPr>
      <w:t xml:space="preserve">22 Bishopsgate, London EC2N 4BQ  ·  DX 138760 Bishopsgate  ·  +44 (0)20 7946 0521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2026-06-28T19:42:50.780Z</dcterms:created>
  <dcterms:modified xsi:type="dcterms:W3CDTF">2026-06-28T19:42:50.781Z</dcterms:modified>
</cp:coreProperties>
</file>

<file path=docProps/custom.xml><?xml version="1.0" encoding="utf-8"?>
<Properties xmlns="http://schemas.openxmlformats.org/officeDocument/2006/custom-properties" xmlns:vt="http://schemas.openxmlformats.org/officeDocument/2006/docPropsVTypes"/>
</file>