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sz w:val="26"/>
        </w:rPr>
        <w:t>PROJECT INDIGO — SIGNING AND COMPLETION CHECKLIST</w:t>
      </w:r>
    </w:p>
    <w:p>
      <w:pPr>
        <w:spacing w:after="200"/>
        <w:jc w:val="center"/>
      </w:pPr>
      <w:r>
        <w:rPr>
          <w:b w:val="0"/>
          <w:i/>
          <w:sz w:val="22"/>
        </w:rPr>
        <w:t>Caspian Technologies Limited / Aerelon Aviation Group plc  |  Target signing: 14 March 2026</w:t>
      </w:r>
    </w:p>
    <w:p>
      <w:pPr>
        <w:spacing w:after="120"/>
        <w:jc w:val="both"/>
      </w:pPr>
      <w:r>
        <w:rPr>
          <w:b w:val="0"/>
          <w:i w:val="0"/>
          <w:sz w:val="22"/>
        </w:rPr>
        <w:t>Prepared by Whitfield Carter LLP. This checklist records the documents to be executed and the steps to be completed on signing of the Technology Licence and Development Collaboration Agreement.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Document / 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Responsible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Technology Licence and Development Collaboration Agreement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Both parties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originals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Disclosure Letter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Caspian; acknowledged by Aerelon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original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Patent Schedule (final, agreed form)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 — appended to Agreement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Deed of Assignment (CL-PAT-004) — Eriksson to Caspian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T. Eriksson; Caspian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original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Deed of Release / Non-disturbance — Ravensworth Ventures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Ravensworth; Caspian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original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Caspian board minutes approving the Transaction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Caspian 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Certified copy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Provided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Aerelon board minutes approving the Transaction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Aerelon 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Certified copy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Provided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Processing terms (Schedule 8) — 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Both parties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Within Agreement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 upfront payment (£2,500,000) — payment instruction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Aerelon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 T+10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Recordal instructions to Hartington IP (assignment + licence)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Caspian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Letter of instruction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send</w:t>
            </w:r>
          </w:p>
        </w:tc>
      </w:tr>
    </w:tbl>
    <w:p>
      <w:pPr>
        <w:spacing w:after="120"/>
        <w:jc w:val="both"/>
      </w:pPr>
      <w:r>
        <w:rPr>
          <w:b w:val="0"/>
          <w:i w:val="0"/>
          <w:sz w:val="22"/>
        </w:rPr>
      </w:r>
    </w:p>
    <w:p>
      <w:pPr>
        <w:spacing w:after="120"/>
        <w:jc w:val="both"/>
      </w:pPr>
      <w:r>
        <w:rPr>
          <w:b w:val="0"/>
          <w:i w:val="0"/>
          <w:sz w:val="22"/>
        </w:rPr>
        <w:t>Post-completion: (i) record the Eriksson assignment and the licence at the UKIPO/EPO; (ii) diarise Milestone M1 acceptance and the first royalty report; (iii) file the executed originals in the deeds register; (iv) update the IP register.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Confidential and may be legally privileged.   |   WC-00126 / Project Indigo — Completion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