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1F3355"/>
          <w:sz w:val="30"/>
        </w:rPr>
        <w:t>Whitfield Carter LLP</w:t>
      </w:r>
    </w:p>
    <w:p>
      <w:pPr>
        <w:jc w:val="right"/>
        <w:pBdr>
          <w:bottom w:val="single" w:sz="6" w:space="1" w:color="1F3355"/>
        </w:pBdr>
      </w:pPr>
      <w:r>
        <w:rPr>
          <w:color w:val="666666"/>
          <w:sz w:val="16"/>
        </w:rPr>
        <w:t>22 Bishopsgate, London EC2N 4BQ</w:t>
        <w:br/>
        <w:t>DX 178 London  |  +44 (0)20 7946 0100  |  www.whitfieldcarter.com</w:t>
      </w:r>
    </w:p>
    <w:p>
      <w:pPr>
        <w:spacing w:after="80"/>
      </w:pPr>
      <w:r>
        <w:rPr>
          <w:b w:val="0"/>
          <w:i/>
          <w:sz w:val="22"/>
        </w:rPr>
        <w:t>Strictly private and confidential — Without prejudice</w:t>
      </w:r>
    </w:p>
    <w:p>
      <w:pPr>
        <w:spacing w:after="120"/>
      </w:pPr>
      <w:r>
        <w:rPr>
          <w:b w:val="0"/>
          <w:i w:val="0"/>
          <w:sz w:val="22"/>
        </w:rPr>
        <w:t>14 March 2026</w:t>
      </w:r>
    </w:p>
    <w:p>
      <w:pPr>
        <w:spacing w:after="160"/>
      </w:pPr>
      <w:r>
        <w:rPr>
          <w:b w:val="0"/>
          <w:i w:val="0"/>
          <w:sz w:val="22"/>
        </w:rPr>
        <w:t>The Directors</w:t>
        <w:br/>
        <w:t>Aerelon Aviation Group plc</w:t>
        <w:br/>
        <w:t>Aerelon House, Trinity Square</w:t>
        <w:br/>
        <w:t>London EC3N 4DJ</w:t>
      </w:r>
    </w:p>
    <w:p>
      <w:pPr>
        <w:spacing w:after="80"/>
      </w:pPr>
      <w:r>
        <w:rPr>
          <w:b w:val="0"/>
          <w:i w:val="0"/>
          <w:sz w:val="22"/>
        </w:rPr>
        <w:t>Dear Sirs</w:t>
      </w:r>
    </w:p>
    <w:p>
      <w:pPr>
        <w:spacing w:before="200" w:after="120"/>
      </w:pPr>
      <w:r>
        <w:rPr>
          <w:b/>
          <w:sz w:val="24"/>
        </w:rPr>
        <w:t>PROJECT INDIGO — DISCLOSURE LETTER</w:t>
      </w:r>
    </w:p>
    <w:p>
      <w:pPr>
        <w:spacing w:after="120"/>
        <w:jc w:val="both"/>
      </w:pPr>
      <w:r>
        <w:rPr>
          <w:b w:val="0"/>
          <w:i w:val="0"/>
          <w:sz w:val="22"/>
        </w:rPr>
        <w:t>This letter is the Disclosure Letter referred to in the Technology Licence and Development Collaboration Agreement of even date between Caspian Technologies Limited (1) and Aerelon Aviation Group plc (2) (the “Agreement”). Words and expressions defined in the Agreement have the same meanings in this letter unless otherwise stated.</w:t>
      </w:r>
    </w:p>
    <w:p>
      <w:pPr>
        <w:spacing w:before="200" w:after="120"/>
      </w:pPr>
      <w:r>
        <w:rPr>
          <w:b/>
          <w:sz w:val="22"/>
        </w:rPr>
        <w:t>1. General</w:t>
      </w:r>
    </w:p>
    <w:p>
      <w:pPr>
        <w:spacing w:after="120"/>
        <w:jc w:val="both"/>
      </w:pPr>
      <w:r>
        <w:rPr>
          <w:b w:val="0"/>
          <w:i w:val="0"/>
          <w:sz w:val="22"/>
        </w:rPr>
        <w:t>The Warranties are given subject to the matters disclosed in this letter. The disclosures are made against the Warranties as a whole, and no disclosure is limited to any particular Warranty unless the context so requires. Where any document is referred to or summarised, the disclosure extends to the whole of that document.</w:t>
      </w:r>
    </w:p>
    <w:p>
      <w:pPr>
        <w:spacing w:before="200" w:after="120"/>
      </w:pPr>
      <w:r>
        <w:rPr>
          <w:b/>
          <w:sz w:val="22"/>
        </w:rPr>
        <w:t>2. Matters disclosed by reference to the Data Room</w:t>
      </w:r>
    </w:p>
    <w:p>
      <w:pPr>
        <w:spacing w:after="120"/>
        <w:jc w:val="both"/>
      </w:pPr>
      <w:r>
        <w:rPr>
          <w:b w:val="0"/>
          <w:i w:val="0"/>
          <w:sz w:val="22"/>
        </w:rPr>
        <w:t>There is disclosed the entire contents of the electronic data room hosted at indigo.dataroom.whitfieldcarter.com, the index to which is appended to this letter, together with the written replies to the Licensee’s due-diligence enquiries (the IP DD Request List, Replies dated 6 February 2026).</w:t>
      </w:r>
    </w:p>
    <w:p>
      <w:pPr>
        <w:spacing w:before="200" w:after="120"/>
      </w:pPr>
      <w:r>
        <w:rPr>
          <w:b/>
          <w:sz w:val="22"/>
        </w:rPr>
        <w:t>3. Specific disclosures</w:t>
      </w:r>
    </w:p>
    <w:p>
      <w:pPr>
        <w:spacing w:after="40"/>
        <w:jc w:val="both"/>
      </w:pPr>
      <w:r>
        <w:rPr>
          <w:b/>
          <w:i w:val="0"/>
          <w:sz w:val="22"/>
        </w:rPr>
        <w:t>Warranty 9.1(a) — Ownership</w:t>
      </w:r>
    </w:p>
    <w:p>
      <w:pPr>
        <w:spacing w:after="120"/>
        <w:jc w:val="both"/>
      </w:pPr>
      <w:r>
        <w:rPr>
          <w:b w:val="0"/>
          <w:i w:val="0"/>
          <w:sz w:val="22"/>
        </w:rPr>
        <w:t>Patent family CL-PAT-004 (apparatus for reconciling scope-1 and scope-3 emissions data) was originally filed in the joint names of the Licensor and Dr T. Eriksson; an assignment from Dr Eriksson to the Licensor dated 3 March 2021 is in the data room at document 2.14. The assignment has not yet been recorded at the UKIPO or EPO; recordal is in progress.</w:t>
      </w:r>
    </w:p>
    <w:p>
      <w:pPr>
        <w:spacing w:after="40"/>
        <w:jc w:val="both"/>
      </w:pPr>
      <w:r>
        <w:rPr>
          <w:b/>
          <w:i w:val="0"/>
          <w:sz w:val="22"/>
        </w:rPr>
        <w:t>Warranty 9.1(b) — Subsistence and validity</w:t>
      </w:r>
    </w:p>
    <w:p>
      <w:pPr>
        <w:spacing w:after="120"/>
        <w:jc w:val="both"/>
      </w:pPr>
      <w:r>
        <w:rPr>
          <w:b w:val="0"/>
          <w:i w:val="0"/>
          <w:sz w:val="22"/>
        </w:rPr>
        <w:t>A third-party observation was filed against the EP designation of CL-PAT-008 (predictive carbon-intensity routing optimiser) on 11 September 2025. The Licensor’s patent attorneys (Hartington IP) consider the observation does not affect grant; correspondence is at data-room document 3.07. CL-PAT-009 (US continuation) remains pending before the USPTO with a first office action responded to on 19 January 2026.</w:t>
      </w:r>
    </w:p>
    <w:p>
      <w:pPr>
        <w:spacing w:after="40"/>
        <w:jc w:val="both"/>
      </w:pPr>
      <w:r>
        <w:rPr>
          <w:b/>
          <w:i w:val="0"/>
          <w:sz w:val="22"/>
        </w:rPr>
        <w:t>Warranty 9.1(d) — Non-infringement</w:t>
      </w:r>
    </w:p>
    <w:p>
      <w:pPr>
        <w:spacing w:after="120"/>
        <w:jc w:val="both"/>
      </w:pPr>
      <w:r>
        <w:rPr>
          <w:b w:val="0"/>
          <w:i w:val="0"/>
          <w:sz w:val="22"/>
        </w:rPr>
        <w:t>A freedom-to-operate review by Hartington IP dated 28 January 2026 (data-room 3.11) identifies one third-party patent (US 11,204,883 held by Meridian Atmospherics Inc) of potential relevance to the SAF-accounting module; counsel’s view is that the Platform as configured does not infringe, and a design-around is in any event available.</w:t>
      </w:r>
    </w:p>
    <w:p>
      <w:pPr>
        <w:spacing w:after="40"/>
        <w:jc w:val="both"/>
      </w:pPr>
      <w:r>
        <w:rPr>
          <w:b/>
          <w:i w:val="0"/>
          <w:sz w:val="22"/>
        </w:rPr>
        <w:t>Warranty 9.1(c) — Existing licences</w:t>
      </w:r>
    </w:p>
    <w:p>
      <w:pPr>
        <w:spacing w:after="120"/>
        <w:jc w:val="both"/>
      </w:pPr>
      <w:r>
        <w:rPr>
          <w:b w:val="0"/>
          <w:i w:val="0"/>
          <w:sz w:val="22"/>
        </w:rPr>
        <w:t>The Licensor has granted a non-exclusive licence of an earlier version of the Platform to Stratton Energy plc under a Master SaaS Agreement dated 22 May 2026 (matter WC-00109); that licence is limited to the energy/utilities field and does not extend to the Field under this Agreement.</w:t>
      </w:r>
    </w:p>
    <w:p>
      <w:pPr>
        <w:spacing w:after="40"/>
        <w:jc w:val="both"/>
      </w:pPr>
      <w:r>
        <w:rPr>
          <w:b/>
          <w:i w:val="0"/>
          <w:sz w:val="22"/>
        </w:rPr>
        <w:t>Schedule 9 — Open-source components</w:t>
      </w:r>
    </w:p>
    <w:p>
      <w:pPr>
        <w:spacing w:after="120"/>
        <w:jc w:val="both"/>
      </w:pPr>
      <w:r>
        <w:rPr>
          <w:b w:val="0"/>
          <w:i w:val="0"/>
          <w:sz w:val="22"/>
        </w:rPr>
        <w:t>The Platform incorporates open-source components under permissive licences (MIT, Apache 2.0, BSD-3) listed in the open-source bill of materials at data-room document 4.02. No copyleft (GPL/AGPL) component is incorporated in the distributed object code.</w:t>
      </w:r>
    </w:p>
    <w:p>
      <w:pPr>
        <w:spacing w:after="40"/>
        <w:jc w:val="both"/>
      </w:pPr>
      <w:r>
        <w:rPr>
          <w:b/>
          <w:i w:val="0"/>
          <w:sz w:val="22"/>
        </w:rPr>
        <w:t>Schedule 9 — Encumbrances</w:t>
      </w:r>
    </w:p>
    <w:p>
      <w:pPr>
        <w:spacing w:after="120"/>
        <w:jc w:val="both"/>
      </w:pPr>
      <w:r>
        <w:rPr>
          <w:b w:val="0"/>
          <w:i w:val="0"/>
          <w:sz w:val="22"/>
        </w:rPr>
        <w:t>The Licensed Patents are free from any charge, save that all the assets of the Licensor are subject to a debenture in favour of Ravensworth Ventures LLP dated 18 March 2026 granted in connection with the Licensor’s Series funding; a deed of release / non-disturbance in respect of the Licensed Patents is being obtained and is at data-room document 5.01 (draft).</w:t>
      </w:r>
    </w:p>
    <w:p>
      <w:pPr>
        <w:spacing w:after="200"/>
        <w:jc w:val="both"/>
      </w:pPr>
      <w:r>
        <w:rPr>
          <w:b w:val="0"/>
          <w:i w:val="0"/>
          <w:sz w:val="22"/>
        </w:rPr>
        <w:t>Please acknowledge receipt and acceptance of this letter by signing and returning the enclosed copy.</w:t>
      </w:r>
    </w:p>
    <w:p>
      <w:pPr>
        <w:spacing w:after="280"/>
      </w:pPr>
      <w:r>
        <w:rPr>
          <w:b w:val="0"/>
          <w:i w:val="0"/>
          <w:sz w:val="22"/>
        </w:rPr>
        <w:t>Yours faithfully</w:t>
      </w:r>
    </w:p>
    <w:p>
      <w:pPr>
        <w:spacing w:after="120"/>
      </w:pPr>
      <w:r>
        <w:rPr>
          <w:b w:val="0"/>
          <w:i w:val="0"/>
          <w:sz w:val="22"/>
        </w:rPr>
        <w:t>Sarah Whitfield</w:t>
        <w:br/>
        <w:t>For and on behalf of Whitfield Carter LLP</w:t>
        <w:br/>
        <w:t>Solicitors for Caspian Technologies Limited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Confidential and may be legally privileged.   |   WC-00126 / Project Indigo — Disclosure Letter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