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1F3355"/>
          <w:sz w:val="30"/>
        </w:rPr>
        <w:t>Whitfield Carter LLP</w:t>
      </w:r>
    </w:p>
    <w:p>
      <w:pPr>
        <w:jc w:val="right"/>
        <w:pBdr>
          <w:bottom w:val="single" w:sz="6" w:space="1" w:color="1F3355"/>
        </w:pBdr>
      </w:pPr>
      <w:r>
        <w:rPr>
          <w:color w:val="666666"/>
          <w:sz w:val="16"/>
        </w:rPr>
        <w:t>22 Bishopsgate, London EC2N 4BQ</w:t>
        <w:br/>
        <w:t>DX 178 London  |  +44 (0)20 7946 0100  |  www.whitfieldcarter.com</w:t>
      </w:r>
    </w:p>
    <w:p>
      <w:pPr>
        <w:spacing w:after="40"/>
      </w:pPr>
      <w:r>
        <w:rPr>
          <w:b w:val="0"/>
          <w:i/>
          <w:sz w:val="22"/>
        </w:rPr>
        <w:t>Strictly private and confidential</w:t>
      </w:r>
    </w:p>
    <w:p>
      <w:pPr>
        <w:spacing w:after="160"/>
      </w:pPr>
      <w:r>
        <w:rPr>
          <w:b w:val="0"/>
          <w:i w:val="0"/>
          <w:sz w:val="22"/>
        </w:rPr>
        <w:t>Ms Sofia Trevino</w:t>
        <w:br/>
        <w:t>General Counsel</w:t>
        <w:br/>
        <w:t>Caspian Technologies Limited</w:t>
        <w:br/>
        <w:t>Pioneer House, 14 Clerkenwell Green</w:t>
        <w:br/>
        <w:t>London EC1R 0DP</w:t>
      </w:r>
    </w:p>
    <w:p>
      <w:pPr>
        <w:spacing w:after="160"/>
      </w:pPr>
      <w:r>
        <w:rPr>
          <w:b w:val="0"/>
          <w:i w:val="0"/>
          <w:sz w:val="22"/>
        </w:rPr>
        <w:t>8 December 2025</w:t>
      </w:r>
    </w:p>
    <w:p>
      <w:pPr>
        <w:spacing w:after="120"/>
      </w:pPr>
      <w:r>
        <w:rPr>
          <w:b w:val="0"/>
          <w:i w:val="0"/>
          <w:sz w:val="22"/>
        </w:rPr>
        <w:t>Dear Sofia</w:t>
      </w:r>
    </w:p>
    <w:p>
      <w:pPr>
        <w:spacing w:before="200" w:after="120"/>
      </w:pPr>
      <w:r>
        <w:rPr>
          <w:b/>
          <w:sz w:val="24"/>
        </w:rPr>
        <w:t>Project Indigo — Technology licence and development collaboration with Aerelon Aviation Group plc</w:t>
      </w:r>
    </w:p>
    <w:p>
      <w:pPr>
        <w:spacing w:after="120"/>
        <w:jc w:val="both"/>
      </w:pPr>
      <w:r>
        <w:rPr>
          <w:b w:val="0"/>
          <w:i w:val="0"/>
          <w:sz w:val="22"/>
        </w:rPr>
        <w:t>Thank you for instructing Whitfield Carter LLP in connection with the proposed grant by Caspian Technologies Limited (“Caspian” or “you”) of an exclusive, field-limited licence of the CarbonLedger platform and the related patent portfolio to Aerelon Aviation Group plc (“Aerelon”), together with a related development collaboration and data-services arrangement (the “Transaction”). This letter, with the enclosed terms of business, sets out the basis on which we will act for you.</w:t>
      </w:r>
    </w:p>
    <w:p>
      <w:pPr>
        <w:spacing w:before="200" w:after="120"/>
      </w:pPr>
      <w:r>
        <w:rPr>
          <w:b/>
          <w:sz w:val="22"/>
        </w:rPr>
        <w:t>1. Scope of our engagement</w:t>
      </w:r>
    </w:p>
    <w:p>
      <w:pPr>
        <w:spacing w:after="120"/>
        <w:jc w:val="both"/>
      </w:pPr>
      <w:r>
        <w:rPr>
          <w:b w:val="0"/>
          <w:i w:val="0"/>
          <w:sz w:val="22"/>
        </w:rPr>
        <w:t>We will advise Caspian on the structuring, negotiation, drafting and completion of the Transaction, including: (a) the technology and patent licence agreement and its schedules; (b) the development and collaboration arrangements, including ownership of foreground intellectual property and improvements; (c) the data-processing and data-services terms (including UK GDPR compliance); (d) intellectual-property due diligence on the CarbonLedger portfolio and the freedom-to-operate matters flagged by your patent attorneys; (e) the disclosure exercise against the warranties; and (f) the ancillary board approvals and completion mechanics. Tax structuring of the receipts will be led by your accountants, on whose advice we are entitled to rely. Our advice relates to English law only.</w:t>
      </w:r>
    </w:p>
    <w:p>
      <w:pPr>
        <w:spacing w:before="200" w:after="120"/>
      </w:pPr>
      <w:r>
        <w:rPr>
          <w:b/>
          <w:sz w:val="22"/>
        </w:rPr>
        <w:t>2. Our team and responsibility</w:t>
      </w:r>
    </w:p>
    <w:p>
      <w:pPr>
        <w:spacing w:after="120"/>
        <w:jc w:val="both"/>
      </w:pPr>
      <w:r>
        <w:rPr>
          <w:b w:val="0"/>
          <w:i w:val="0"/>
          <w:sz w:val="22"/>
        </w:rPr>
        <w:t>The engagement will be led by Sarah Whitfield (Partner), supported by James Osei (Senior Associate), who will have day-to-day conduct, and Elena Marchetti (Associate). Specialist patent input will be co-ordinated with your patent attorneys at Hartington IP. Sarah will remain responsible for the overall conduct of the matter and is your principal point of contact.</w:t>
      </w:r>
    </w:p>
    <w:p>
      <w:pPr>
        <w:spacing w:before="200" w:after="120"/>
      </w:pPr>
      <w:r>
        <w:rPr>
          <w:b/>
          <w:sz w:val="22"/>
        </w:rPr>
        <w:t>3. Fees and estimate</w:t>
      </w:r>
    </w:p>
    <w:p>
      <w:pPr>
        <w:spacing w:after="120"/>
        <w:jc w:val="both"/>
      </w:pPr>
      <w:r>
        <w:rPr>
          <w:b w:val="0"/>
          <w:i w:val="0"/>
          <w:sz w:val="22"/>
        </w:rPr>
        <w:t>Our fees are charged by reference to time reasonably spent at the hourly rates of the individuals involved: Partner £695, Senior Associate £480, Associate £360 (each plus VAT). Based on a transaction of this nature and the anticipated negotiation, we estimate our fees through to completion in the region of £145,000 to £185,000 plus VAT and disbursements. This is an estimate and not a fixed quotation; we will update you promptly if it appears likely to be materially exceeded. We will render bills monthly in arrears, payable within 21 days.</w:t>
      </w:r>
    </w:p>
    <w:p>
      <w:pPr>
        <w:spacing w:before="200" w:after="120"/>
      </w:pPr>
      <w:r>
        <w:rPr>
          <w:b/>
          <w:sz w:val="22"/>
        </w:rPr>
        <w:t>4. Conflicts, confidentiality and data</w:t>
      </w:r>
    </w:p>
    <w:p>
      <w:pPr>
        <w:spacing w:after="120"/>
        <w:jc w:val="both"/>
      </w:pPr>
      <w:r>
        <w:rPr>
          <w:b w:val="0"/>
          <w:i w:val="0"/>
          <w:sz w:val="22"/>
        </w:rPr>
        <w:t>We have carried out a conflict check and are not aware of any conflict that prevents us from acting. We will keep your affairs confidential in accordance with our professional obligations and the enclosed terms of business, and will hold your personal data in accordance with our privacy notice. Aerelon is separately represented by Pemberton Rowe LLP (Alistair Whitlock).</w:t>
      </w:r>
    </w:p>
    <w:p>
      <w:pPr>
        <w:spacing w:before="200" w:after="120"/>
      </w:pPr>
      <w:r>
        <w:rPr>
          <w:b/>
          <w:sz w:val="22"/>
        </w:rPr>
        <w:t>5. Complaints and regulation</w:t>
      </w:r>
    </w:p>
    <w:p>
      <w:pPr>
        <w:spacing w:after="120"/>
        <w:jc w:val="both"/>
      </w:pPr>
      <w:r>
        <w:rPr>
          <w:b w:val="0"/>
          <w:i w:val="0"/>
          <w:sz w:val="22"/>
        </w:rPr>
        <w:t>Whitfield Carter LLP is authorised and regulated by the Solicitors Regulation Authority (SRA no. 624188). A copy of our complaints procedure is available on request. If we are unable to resolve a complaint you may be entitled to refer it to the Legal Ombudsman.</w:t>
      </w:r>
    </w:p>
    <w:p>
      <w:pPr>
        <w:spacing w:after="200"/>
        <w:jc w:val="both"/>
      </w:pPr>
      <w:r>
        <w:rPr>
          <w:b w:val="0"/>
          <w:i w:val="0"/>
          <w:sz w:val="22"/>
        </w:rPr>
        <w:t>Please confirm your agreement to these terms by signing and returning the enclosed copy of this letter. We are delighted to be acting for you on Project Indigo and look forward to working with you and your team.</w:t>
      </w:r>
    </w:p>
    <w:p>
      <w:pPr>
        <w:spacing w:after="320"/>
      </w:pPr>
      <w:r>
        <w:rPr>
          <w:b w:val="0"/>
          <w:i w:val="0"/>
          <w:sz w:val="22"/>
        </w:rPr>
        <w:t>Yours sincerely</w:t>
      </w:r>
    </w:p>
    <w:p>
      <w:pPr>
        <w:spacing w:after="120"/>
      </w:pPr>
      <w:r>
        <w:rPr>
          <w:b w:val="0"/>
          <w:i w:val="0"/>
          <w:sz w:val="22"/>
        </w:rPr>
        <w:t>Sarah Whitfield</w:t>
        <w:br/>
        <w:t>Partner  |  Whitfield Carter LLP</w:t>
        <w:br/>
        <w:t>For and on behalf of the firm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Confidential and may be legally privileged.   |   WC-00126 / Project Indigo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