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40"/>
        <w:jc w:val="center"/>
      </w:pPr>
      <w:r>
        <w:rPr>
          <w:b/>
          <w:sz w:val="32"/>
        </w:rPr>
        <w:t>PROJECT INDIGO</w:t>
      </w:r>
    </w:p>
    <w:p>
      <w:pPr>
        <w:spacing w:before="0" w:after="40"/>
        <w:jc w:val="center"/>
      </w:pPr>
      <w:r>
        <w:rPr>
          <w:b/>
          <w:sz w:val="26"/>
        </w:rPr>
        <w:t>HEADS OF TERMS</w:t>
      </w:r>
    </w:p>
    <w:p>
      <w:pPr>
        <w:spacing w:after="40"/>
        <w:jc w:val="center"/>
      </w:pPr>
      <w:r>
        <w:rPr>
          <w:b w:val="0"/>
          <w:i/>
          <w:sz w:val="22"/>
        </w:rPr>
        <w:t>Technology Licence and Development Collaboration</w:t>
      </w:r>
    </w:p>
    <w:p>
      <w:pPr>
        <w:spacing w:after="200"/>
        <w:jc w:val="center"/>
      </w:pPr>
      <w:r>
        <w:rPr>
          <w:b w:val="0"/>
          <w:i w:val="0"/>
          <w:sz w:val="22"/>
        </w:rPr>
        <w:t>Confidential — Subject to Contract  |  19 December 2025</w:t>
      </w:r>
    </w:p>
    <w:p>
      <w:pPr>
        <w:spacing w:after="120"/>
        <w:jc w:val="both"/>
      </w:pPr>
      <w:r>
        <w:rPr>
          <w:b w:val="0"/>
          <w:i w:val="0"/>
          <w:sz w:val="22"/>
        </w:rPr>
        <w:t>These heads of terms record the principal terms on which Caspian Technologies Limited (“Caspian”) proposes to grant to Aerelon Aviation Group plc (“Aerelon”) an exclusive, field-limited licence of the CarbonLedger platform and the related patent portfolio, and to undertake a development collaboration with Aerelon. Save for the paragraphs headed Exclusivity Period, Confidentiality, Costs and Governing Law (which are intended to be legally binding), these heads of terms are not legally binding, are subject to contract and are conditional on board approval of each party.</w:t>
      </w:r>
    </w:p>
    <w:tbl>
      <w:tblPr>
        <w:tblStyle w:val="TableGrid"/>
        <w:tblW w:type="auto" w:w="0"/>
        <w:tblLayout w:type="fixed"/>
        <w:tblLook w:firstColumn="1" w:firstRow="1" w:lastColumn="0" w:lastRow="0" w:noHBand="0" w:noVBand="1" w:val="04A0"/>
      </w:tblPr>
      <w:tblGrid>
        <w:gridCol w:w="4320"/>
        <w:gridCol w:w="4320"/>
      </w:tblGrid>
      <w:tr>
        <w:tc>
          <w:tcPr>
            <w:tcW w:type="dxa" w:w="2736"/>
          </w:tcPr>
          <w:p>
            <w:r>
              <w:rPr>
                <w:b/>
                <w:sz w:val="20"/>
              </w:rPr>
              <w:t>Licensor</w:t>
            </w:r>
          </w:p>
        </w:tc>
        <w:tc>
          <w:tcPr>
            <w:tcW w:type="dxa" w:w="6624"/>
          </w:tcPr>
          <w:p>
            <w:r>
              <w:rPr>
                <w:sz w:val="20"/>
              </w:rPr>
              <w:t>Caspian Technologies Limited (registered in England and Wales no. 09142233), Pioneer House, 14 Clerkenwell Green, London EC1R 0DP.</w:t>
            </w:r>
          </w:p>
        </w:tc>
      </w:tr>
      <w:tr>
        <w:tc>
          <w:tcPr>
            <w:tcW w:type="dxa" w:w="2736"/>
          </w:tcPr>
          <w:p>
            <w:r>
              <w:rPr>
                <w:b/>
                <w:sz w:val="20"/>
              </w:rPr>
              <w:t>Licensee</w:t>
            </w:r>
          </w:p>
        </w:tc>
        <w:tc>
          <w:tcPr>
            <w:tcW w:type="dxa" w:w="6624"/>
          </w:tcPr>
          <w:p>
            <w:r>
              <w:rPr>
                <w:sz w:val="20"/>
              </w:rPr>
              <w:t>Aerelon Aviation Group plc (registered in England and Wales no. 07788341), Aerelon House, Trinity Square, London EC3N 4DJ.</w:t>
            </w:r>
          </w:p>
        </w:tc>
      </w:tr>
      <w:tr>
        <w:tc>
          <w:tcPr>
            <w:tcW w:type="dxa" w:w="2736"/>
          </w:tcPr>
          <w:p>
            <w:r>
              <w:rPr>
                <w:b/>
                <w:sz w:val="20"/>
              </w:rPr>
              <w:t>Licensed technology</w:t>
            </w:r>
          </w:p>
        </w:tc>
        <w:tc>
          <w:tcPr>
            <w:tcW w:type="dxa" w:w="6624"/>
          </w:tcPr>
          <w:p>
            <w:r>
              <w:rPr>
                <w:sz w:val="20"/>
              </w:rPr>
              <w:t>The CarbonLedger emissions-accounting and carbon-analytics software platform — source and object code, APIs, data models, documentation and associated know-how — together with the Licensed Patents (9 patent families) listed in the Patent Schedule.</w:t>
            </w:r>
          </w:p>
        </w:tc>
      </w:tr>
      <w:tr>
        <w:tc>
          <w:tcPr>
            <w:tcW w:type="dxa" w:w="2736"/>
          </w:tcPr>
          <w:p>
            <w:r>
              <w:rPr>
                <w:b/>
                <w:sz w:val="20"/>
              </w:rPr>
              <w:t>Field of use</w:t>
            </w:r>
          </w:p>
        </w:tc>
        <w:tc>
          <w:tcPr>
            <w:tcW w:type="dxa" w:w="6624"/>
          </w:tcPr>
          <w:p>
            <w:r>
              <w:rPr>
                <w:sz w:val="20"/>
              </w:rPr>
              <w:t>Commercial aviation — passenger and cargo air transport — worldwide.</w:t>
            </w:r>
          </w:p>
        </w:tc>
      </w:tr>
      <w:tr>
        <w:tc>
          <w:tcPr>
            <w:tcW w:type="dxa" w:w="2736"/>
          </w:tcPr>
          <w:p>
            <w:r>
              <w:rPr>
                <w:b/>
                <w:sz w:val="20"/>
              </w:rPr>
              <w:t>Exclusivity</w:t>
            </w:r>
          </w:p>
        </w:tc>
        <w:tc>
          <w:tcPr>
            <w:tcW w:type="dxa" w:w="6624"/>
          </w:tcPr>
          <w:p>
            <w:r>
              <w:rPr>
                <w:sz w:val="20"/>
              </w:rPr>
              <w:t>Exclusive in the Field (including as against Caspian) for an initial period of five years from the Effective Date, thereafter converting to sole, subject to the Minimum Annual Royalty having been met.</w:t>
            </w:r>
          </w:p>
        </w:tc>
      </w:tr>
      <w:tr>
        <w:tc>
          <w:tcPr>
            <w:tcW w:type="dxa" w:w="2736"/>
          </w:tcPr>
          <w:p>
            <w:r>
              <w:rPr>
                <w:b/>
                <w:sz w:val="20"/>
              </w:rPr>
              <w:t>Term</w:t>
            </w:r>
          </w:p>
        </w:tc>
        <w:tc>
          <w:tcPr>
            <w:tcW w:type="dxa" w:w="6624"/>
          </w:tcPr>
          <w:p>
            <w:r>
              <w:rPr>
                <w:sz w:val="20"/>
              </w:rPr>
              <w:t>Ten (10) years from the Effective Date, renewable for successive three-year periods unless terminated in accordance with the Agreement.</w:t>
            </w:r>
          </w:p>
        </w:tc>
      </w:tr>
      <w:tr>
        <w:tc>
          <w:tcPr>
            <w:tcW w:type="dxa" w:w="2736"/>
          </w:tcPr>
          <w:p>
            <w:r>
              <w:rPr>
                <w:b/>
                <w:sz w:val="20"/>
              </w:rPr>
              <w:t>Upfront fee</w:t>
            </w:r>
          </w:p>
        </w:tc>
        <w:tc>
          <w:tcPr>
            <w:tcW w:type="dxa" w:w="6624"/>
          </w:tcPr>
          <w:p>
            <w:r>
              <w:rPr>
                <w:sz w:val="20"/>
              </w:rPr>
              <w:t>£4,500,000, payable £2,500,000 on Completion and £2,000,000 on first production deployment (Acceptance) of the Platform in the Field.</w:t>
            </w:r>
          </w:p>
        </w:tc>
      </w:tr>
      <w:tr>
        <w:tc>
          <w:tcPr>
            <w:tcW w:type="dxa" w:w="2736"/>
          </w:tcPr>
          <w:p>
            <w:r>
              <w:rPr>
                <w:b/>
                <w:sz w:val="20"/>
              </w:rPr>
              <w:t>Development milestones</w:t>
            </w:r>
          </w:p>
        </w:tc>
        <w:tc>
          <w:tcPr>
            <w:tcW w:type="dxa" w:w="6624"/>
          </w:tcPr>
          <w:p>
            <w:r>
              <w:rPr>
                <w:sz w:val="20"/>
              </w:rPr>
              <w:t>Up to £18,000,000 in aggregate, payable on achievement of the technical and deployment milestones M1–M6 in the Milestone Schedule.</w:t>
            </w:r>
          </w:p>
        </w:tc>
      </w:tr>
      <w:tr>
        <w:tc>
          <w:tcPr>
            <w:tcW w:type="dxa" w:w="2736"/>
          </w:tcPr>
          <w:p>
            <w:r>
              <w:rPr>
                <w:b/>
                <w:sz w:val="20"/>
              </w:rPr>
              <w:t>Royalties</w:t>
            </w:r>
          </w:p>
        </w:tc>
        <w:tc>
          <w:tcPr>
            <w:tcW w:type="dxa" w:w="6624"/>
          </w:tcPr>
          <w:p>
            <w:r>
              <w:rPr>
                <w:sz w:val="20"/>
              </w:rPr>
              <w:t>Tiered running royalty on Net Revenues attributable to the Licensed Technology in the Field: 5% on the band up to £25m; 8% on the band £25m–£60m; 11% above £60m. Minimum Annual Royalty of £1,200,000 from Year 3.</w:t>
            </w:r>
          </w:p>
        </w:tc>
      </w:tr>
      <w:tr>
        <w:tc>
          <w:tcPr>
            <w:tcW w:type="dxa" w:w="2736"/>
          </w:tcPr>
          <w:p>
            <w:r>
              <w:rPr>
                <w:b/>
                <w:sz w:val="20"/>
              </w:rPr>
              <w:t>Improvements / IP</w:t>
            </w:r>
          </w:p>
        </w:tc>
        <w:tc>
          <w:tcPr>
            <w:tcW w:type="dxa" w:w="6624"/>
          </w:tcPr>
          <w:p>
            <w:r>
              <w:rPr>
                <w:sz w:val="20"/>
              </w:rPr>
              <w:t>Caspian to own Platform improvements; Aerelon to own aviation-specific configurations and integrations it develops; reciprocal cross-licences in each party’s field. Foreground jointly-developed IP to be allocated per the Collaboration Schedule.</w:t>
            </w:r>
          </w:p>
        </w:tc>
      </w:tr>
      <w:tr>
        <w:tc>
          <w:tcPr>
            <w:tcW w:type="dxa" w:w="2736"/>
          </w:tcPr>
          <w:p>
            <w:r>
              <w:rPr>
                <w:b/>
                <w:sz w:val="20"/>
              </w:rPr>
              <w:t>Data</w:t>
            </w:r>
          </w:p>
        </w:tc>
        <w:tc>
          <w:tcPr>
            <w:tcW w:type="dxa" w:w="6624"/>
          </w:tcPr>
          <w:p>
            <w:r>
              <w:rPr>
                <w:sz w:val="20"/>
              </w:rPr>
              <w:t>Aerelon operational data remains Aerelon’s; Caspian granted a licence to use aggregated, de-identified data to improve the Platform. UK GDPR data-processing terms to apply (Data Schedule).</w:t>
            </w:r>
          </w:p>
        </w:tc>
      </w:tr>
      <w:tr>
        <w:tc>
          <w:tcPr>
            <w:tcW w:type="dxa" w:w="2736"/>
          </w:tcPr>
          <w:p>
            <w:r>
              <w:rPr>
                <w:b/>
                <w:sz w:val="20"/>
              </w:rPr>
              <w:t>Warranties / liability</w:t>
            </w:r>
          </w:p>
        </w:tc>
        <w:tc>
          <w:tcPr>
            <w:tcW w:type="dxa" w:w="6624"/>
          </w:tcPr>
          <w:p>
            <w:r>
              <w:rPr>
                <w:sz w:val="20"/>
              </w:rPr>
              <w:t>Customary IP ownership, authority, non-infringement and capacity warranties from Caspian, qualified by a Disclosure Letter. General liability capped at fees paid in the preceding 12 months; IP indemnity carved out and capped at £12,000,000.</w:t>
            </w:r>
          </w:p>
        </w:tc>
      </w:tr>
      <w:tr>
        <w:tc>
          <w:tcPr>
            <w:tcW w:type="dxa" w:w="2736"/>
          </w:tcPr>
          <w:p>
            <w:r>
              <w:rPr>
                <w:b/>
                <w:sz w:val="20"/>
              </w:rPr>
              <w:t>Conditions</w:t>
            </w:r>
          </w:p>
        </w:tc>
        <w:tc>
          <w:tcPr>
            <w:tcW w:type="dxa" w:w="6624"/>
          </w:tcPr>
          <w:p>
            <w:r>
              <w:rPr>
                <w:sz w:val="20"/>
              </w:rPr>
              <w:t>Board approvals of each party; confirmatory IP due diligence; agreed-form long-form Agreement and schedules; no material adverse change.</w:t>
            </w:r>
          </w:p>
        </w:tc>
      </w:tr>
      <w:tr>
        <w:tc>
          <w:tcPr>
            <w:tcW w:type="dxa" w:w="2736"/>
          </w:tcPr>
          <w:p>
            <w:r>
              <w:rPr>
                <w:b/>
                <w:sz w:val="20"/>
              </w:rPr>
              <w:t>Governing law</w:t>
            </w:r>
          </w:p>
        </w:tc>
        <w:tc>
          <w:tcPr>
            <w:tcW w:type="dxa" w:w="6624"/>
          </w:tcPr>
          <w:p>
            <w:r>
              <w:rPr>
                <w:sz w:val="20"/>
              </w:rPr>
              <w:t>England and Wales; exclusive jurisdiction of the English courts.</w:t>
            </w:r>
          </w:p>
        </w:tc>
      </w:tr>
      <w:tr>
        <w:tc>
          <w:tcPr>
            <w:tcW w:type="dxa" w:w="2736"/>
          </w:tcPr>
          <w:p>
            <w:r>
              <w:rPr>
                <w:b/>
                <w:sz w:val="20"/>
              </w:rPr>
              <w:t>Costs</w:t>
            </w:r>
          </w:p>
        </w:tc>
        <w:tc>
          <w:tcPr>
            <w:tcW w:type="dxa" w:w="6624"/>
          </w:tcPr>
          <w:p>
            <w:r>
              <w:rPr>
                <w:sz w:val="20"/>
              </w:rPr>
              <w:t>Each party to bear its own costs.</w:t>
            </w:r>
          </w:p>
        </w:tc>
      </w:tr>
      <w:tr>
        <w:tc>
          <w:tcPr>
            <w:tcW w:type="dxa" w:w="2736"/>
          </w:tcPr>
          <w:p>
            <w:r>
              <w:rPr>
                <w:b/>
                <w:sz w:val="20"/>
              </w:rPr>
              <w:t>Exclusivity period</w:t>
            </w:r>
          </w:p>
        </w:tc>
        <w:tc>
          <w:tcPr>
            <w:tcW w:type="dxa" w:w="6624"/>
          </w:tcPr>
          <w:p>
            <w:r>
              <w:rPr>
                <w:sz w:val="20"/>
              </w:rPr>
              <w:t>Aerelon granted exclusivity to negotiate until 31 March 2026; neither party to solicit or negotiate a competing transaction during that period.</w:t>
            </w:r>
          </w:p>
        </w:tc>
      </w:tr>
    </w:tbl>
    <w:p>
      <w:pPr>
        <w:spacing w:after="160"/>
        <w:jc w:val="both"/>
      </w:pPr>
      <w:r>
        <w:rPr>
          <w:b w:val="0"/>
          <w:i w:val="0"/>
          <w:sz w:val="22"/>
        </w:rPr>
      </w:r>
    </w:p>
    <w:p>
      <w:pPr>
        <w:spacing w:after="160"/>
      </w:pPr>
      <w:r>
        <w:rPr>
          <w:b w:val="0"/>
          <w:i w:val="0"/>
          <w:sz w:val="22"/>
        </w:rPr>
        <w:t>Signed for and on behalf of Caspian Technologies Limited:  ______________________   Date: __________</w:t>
      </w:r>
    </w:p>
    <w:p>
      <w:pPr>
        <w:spacing w:after="120"/>
      </w:pPr>
      <w:r>
        <w:rPr>
          <w:b w:val="0"/>
          <w:i w:val="0"/>
          <w:sz w:val="22"/>
        </w:rPr>
        <w:t>Signed for and on behalf of Aerelon Aviation Group plc:  ______________________   Date: __________</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5"/>
      </w:rPr>
      <w:t>Confidential and may be legally privileged.   |   WC-00126 / Project Indigo — Heads of Terms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