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jc w:val="left"/>
      </w:pPr>
      <w:r>
        <w:rPr>
          <w:b/>
          <w:sz w:val="24"/>
        </w:rPr>
        <w:t xml:space="preserve">CASPIAN TECHNOLOGIES LIMITED</w:t>
      </w:r>
    </w:p>
    <w:p>
      <w:pPr>
        <w:spacing w:before="40" w:after="80"/>
        <w:jc w:val="left"/>
      </w:pPr>
      <w:r>
        <w:rPr>
          <w:i/>
          <w:sz w:val="16"/>
        </w:rPr>
        <w:t xml:space="preserve">Unit 4, Kelvin Court, 120 Clerkenwell Road, London EC1R 5DB</w:t>
      </w:r>
    </w:p>
    <w:p>
      <w:pPr>
        <w:pBdr>
          <w:bottom w:val="single" w:sz="6" w:space="1" w:color="999999"/>
        </w:pBdr>
      </w:pPr>
    </w:p>
    <w:p>
      <w:pPr>
        <w:spacing w:before="40" w:after="20"/>
        <w:jc w:val="left"/>
      </w:pPr>
      <w:r>
        <w:t xml:space="preserve">To:	Ravensworth Ventures LLP</w:t>
      </w:r>
    </w:p>
    <w:p>
      <w:pPr>
        <w:spacing w:before="40" w:after="20"/>
        <w:jc w:val="left"/>
      </w:pPr>
      <w:r>
        <w:t xml:space="preserve">	8 Finsbury Circus, London EC2M 7EA</w:t>
      </w:r>
    </w:p>
    <w:p>
      <w:pPr>
        <w:spacing w:before="40" w:after="80"/>
        <w:jc w:val="left"/>
      </w:pPr>
      <w:r>
        <w:t xml:space="preserve">	(copy to Birchall Stone LLP, for the attention of Oliver Jennings)</w:t>
      </w:r>
    </w:p>
    <w:p>
      <w:pPr>
        <w:spacing w:before="40" w:after="120"/>
        <w:jc w:val="left"/>
      </w:pPr>
      <w:r>
        <w:t xml:space="preserve">Date: 16 March 2026</w:t>
      </w:r>
    </w:p>
    <w:p>
      <w:pPr>
        <w:spacing w:before="40" w:after="80"/>
        <w:jc w:val="left"/>
      </w:pPr>
      <w:r>
        <w:t xml:space="preserve">Dear Sirs</w:t>
      </w:r>
    </w:p>
    <w:p>
      <w:pPr>
        <w:spacing w:before="40" w:after="80"/>
        <w:jc w:val="left"/>
      </w:pPr>
      <w:r>
        <w:rPr>
          <w:b/>
        </w:rPr>
        <w:t xml:space="preserve">Disclosure Letter — Project Kestrel Subscription Agreement</w:t>
      </w:r>
    </w:p>
    <w:p>
      <w:pPr>
        <w:spacing w:before="40" w:after="120"/>
        <w:ind w:left="720" w:hanging="720"/>
        <w:jc w:val="both"/>
      </w:pPr>
      <w:r>
        <w:rPr>
          <w:b/>
        </w:rPr>
        <w:t xml:space="preserve">1.	</w:t>
      </w:r>
      <w:r>
        <w:rPr>
          <w:b/>
        </w:rPr>
        <w:t xml:space="preserve">INTRODUCTION</w:t>
      </w:r>
    </w:p>
    <w:p>
      <w:pPr>
        <w:spacing w:before="40" w:after="100"/>
        <w:ind w:left="1368" w:hanging="648"/>
        <w:jc w:val="both"/>
      </w:pPr>
      <w:r>
        <w:t xml:space="preserve">1.1	</w:t>
      </w:r>
      <w:r>
        <w:t xml:space="preserve">This is the Disclosure Letter referred to in the subscription agreement relating to the subscription for Series B Preferred Shares in Caspian Technologies Limited to be dated on or about the date of this letter (the “Agreement”), made between the Company, the Founders and Ravensworth Ventures LLP.</w:t>
      </w:r>
    </w:p>
    <w:p>
      <w:pPr>
        <w:spacing w:before="40" w:after="100"/>
        <w:ind w:left="1368" w:hanging="648"/>
        <w:jc w:val="both"/>
      </w:pPr>
      <w:r>
        <w:t xml:space="preserve">1.2	</w:t>
      </w:r>
      <w:r>
        <w:t xml:space="preserve">Words and expressions defined in the Agreement have the same meaning in this letter, unless otherwise stated. References to paragraphs and Warranties are to paragraphs of this letter and the Warranties in the Agreement.</w:t>
      </w:r>
    </w:p>
    <w:p>
      <w:pPr>
        <w:spacing w:before="40" w:after="100"/>
        <w:ind w:left="1368" w:hanging="648"/>
        <w:jc w:val="both"/>
      </w:pPr>
      <w:r>
        <w:t xml:space="preserve">1.3	</w:t>
      </w:r>
      <w:r>
        <w:t xml:space="preserve">We disclose to you the matters set out in this letter in qualification of the Warranties. The Warranties are subject to, and are qualified by, the matters fairly disclosed in this letter (including the documents listed in the Disclosure Bundle).</w:t>
      </w:r>
    </w:p>
    <w:p>
      <w:pPr>
        <w:spacing w:before="40" w:after="120"/>
        <w:ind w:left="720" w:hanging="720"/>
        <w:jc w:val="both"/>
      </w:pPr>
      <w:r>
        <w:rPr>
          <w:b/>
        </w:rPr>
        <w:t xml:space="preserve">2.	</w:t>
      </w:r>
      <w:r>
        <w:rPr>
          <w:b/>
        </w:rPr>
        <w:t xml:space="preserve">GENERAL DISCLOSURES</w:t>
      </w:r>
    </w:p>
    <w:p>
      <w:pPr>
        <w:spacing w:before="40" w:after="100"/>
        <w:ind w:left="1368" w:hanging="648"/>
        <w:jc w:val="both"/>
      </w:pPr>
      <w:r>
        <w:t xml:space="preserve">2.1	</w:t>
      </w:r>
      <w:r>
        <w:t xml:space="preserve">The following matters are disclosed against all of the Warranties:</w:t>
      </w:r>
    </w:p>
    <w:p>
      <w:pPr>
        <w:spacing w:before="40" w:after="80"/>
        <w:ind w:left="1944" w:hanging="576"/>
        <w:jc w:val="both"/>
      </w:pPr>
      <w:r>
        <w:t xml:space="preserve">(a)	</w:t>
      </w:r>
      <w:r>
        <w:t xml:space="preserve">all matters apparent from the face of the Accounts and the notes to them;</w:t>
      </w:r>
    </w:p>
    <w:p>
      <w:pPr>
        <w:spacing w:before="40" w:after="80"/>
        <w:ind w:left="1944" w:hanging="576"/>
        <w:jc w:val="both"/>
      </w:pPr>
      <w:r>
        <w:t xml:space="preserve">(b)	</w:t>
      </w:r>
      <w:r>
        <w:t xml:space="preserve">all matters which would be revealed by a search at Companies House against the Company on the date of this letter, and all documents filed at Companies House;</w:t>
      </w:r>
    </w:p>
    <w:p>
      <w:pPr>
        <w:spacing w:before="40" w:after="80"/>
        <w:ind w:left="1944" w:hanging="576"/>
        <w:jc w:val="both"/>
      </w:pPr>
      <w:r>
        <w:t xml:space="preserve">(c)	</w:t>
      </w:r>
      <w:r>
        <w:t xml:space="preserve">all matters provided or made available in the due-diligence data room hosted at the Project Kestrel data site, an index of which forms the Disclosure Bundle, as at 13 March 2026;</w:t>
      </w:r>
    </w:p>
    <w:p>
      <w:pPr>
        <w:spacing w:before="40" w:after="80"/>
        <w:ind w:left="1944" w:hanging="576"/>
        <w:jc w:val="both"/>
      </w:pPr>
      <w:r>
        <w:t xml:space="preserve">(d)	</w:t>
      </w:r>
      <w:r>
        <w:t xml:space="preserve">all matters disclosed in the written replies to the Investor’s due-diligence enquiries dated 9 March 2026;</w:t>
      </w:r>
    </w:p>
    <w:p>
      <w:pPr>
        <w:spacing w:before="40" w:after="80"/>
        <w:ind w:left="1944" w:hanging="576"/>
        <w:jc w:val="both"/>
      </w:pPr>
      <w:r>
        <w:t xml:space="preserve">(e)	</w:t>
      </w:r>
      <w:r>
        <w:t xml:space="preserve">all matters which would be revealed by searches of the registers maintained by the UK Intellectual Property Office in respect of the Company’s registered and pending trade marks.</w:t>
      </w:r>
    </w:p>
    <w:p>
      <w:pPr>
        <w:spacing w:before="40" w:after="120"/>
        <w:ind w:left="720" w:hanging="720"/>
        <w:jc w:val="both"/>
      </w:pPr>
      <w:r>
        <w:rPr>
          <w:b/>
        </w:rPr>
        <w:t xml:space="preserve">3.	</w:t>
      </w:r>
      <w:r>
        <w:rPr>
          <w:b/>
        </w:rPr>
        <w:t xml:space="preserve">SPECIFIC DISCLOSURES</w:t>
      </w:r>
    </w:p>
    <w:p>
      <w:pPr>
        <w:spacing w:before="40" w:after="120"/>
        <w:jc w:val="both"/>
      </w:pPr>
      <w:r>
        <w:t xml:space="preserve">The following specific matters are disclosed against the Warranties indicated. Where a matter is disclosed against a particular Warranty, it is also disclosed against each other Warranty to which it is relevant.</w:t>
      </w:r>
    </w:p>
    <w:p>
      <w:pPr>
        <w:spacing w:before="120" w:after="40"/>
        <w:jc w:val="left"/>
      </w:pPr>
      <w:r>
        <w:rPr>
          <w:b/>
        </w:rPr>
        <w:t xml:space="preserve">Warranty 3 (Intellectual property and IT)</w:t>
      </w:r>
    </w:p>
    <w:p>
      <w:pPr>
        <w:spacing w:before="40" w:after="100"/>
        <w:ind w:left="1368" w:hanging="648"/>
        <w:jc w:val="both"/>
      </w:pPr>
      <w:r>
        <w:t xml:space="preserve">3.1	</w:t>
      </w:r>
      <w:r>
        <w:t xml:space="preserve">The Company licenses certain emissions-factor datasets from Marlowe Data Services Limited under a data licence dated 2 May 2024, which is terminable by either party on 90 days’ written notice. The licence is non-exclusive and the annual fee is £48,000 plus VAT.</w:t>
      </w:r>
    </w:p>
    <w:p>
      <w:pPr>
        <w:spacing w:before="40" w:after="100"/>
        <w:ind w:left="1368" w:hanging="648"/>
        <w:jc w:val="both"/>
      </w:pPr>
      <w:r>
        <w:t xml:space="preserve">3.2	</w:t>
      </w:r>
      <w:r>
        <w:t xml:space="preserve">The Company’s “Caspian Carbon Engine” UK trade mark application (UK00003899142, filed 14 November 2025) is pending and has not yet proceeded to registration. No opposition has been notified.</w:t>
      </w:r>
    </w:p>
    <w:p>
      <w:pPr>
        <w:spacing w:before="40" w:after="100"/>
        <w:ind w:left="1368" w:hanging="648"/>
        <w:jc w:val="both"/>
      </w:pPr>
      <w:r>
        <w:t xml:space="preserve">3.3	</w:t>
      </w:r>
      <w:r>
        <w:t xml:space="preserve">The Company uses a number of open-source software components in its platform under permissive licences (MIT and Apache 2.0); a register of these components is at document 3.7 of the Disclosure Bundle.</w:t>
      </w:r>
    </w:p>
    <w:p>
      <w:pPr>
        <w:spacing w:before="120" w:after="40"/>
        <w:jc w:val="left"/>
      </w:pPr>
      <w:r>
        <w:rPr>
          <w:b/>
        </w:rPr>
        <w:t xml:space="preserve">Warranty 5 (Contracts)</w:t>
      </w:r>
    </w:p>
    <w:p>
      <w:pPr>
        <w:spacing w:before="40" w:after="100"/>
        <w:ind w:left="1368" w:hanging="648"/>
        <w:jc w:val="both"/>
      </w:pPr>
      <w:r>
        <w:t xml:space="preserve">5.1	</w:t>
      </w:r>
      <w:r>
        <w:t xml:space="preserve">The Company’s largest customer contract, with Hartwell Energy plc (representing approximately 18% of annual recurring revenue), contains a change-of-control notification provision requiring the Company to notify the customer of any change of control. A copy is at document 5.2 of the Disclosure Bundle. The Company will issue the required notification following Completion.</w:t>
      </w:r>
    </w:p>
    <w:p>
      <w:pPr>
        <w:spacing w:before="40" w:after="100"/>
        <w:ind w:left="1368" w:hanging="648"/>
        <w:jc w:val="both"/>
      </w:pPr>
      <w:r>
        <w:t xml:space="preserve">5.2	</w:t>
      </w:r>
      <w:r>
        <w:t xml:space="preserve">The Company’s cloud-hosting agreement with its infrastructure provider renews automatically on 1 July each year unless terminated on 60 days’ notice.</w:t>
      </w:r>
    </w:p>
    <w:p>
      <w:pPr>
        <w:spacing w:before="120" w:after="40"/>
        <w:jc w:val="left"/>
      </w:pPr>
      <w:r>
        <w:rPr>
          <w:b/>
        </w:rPr>
        <w:t xml:space="preserve">Warranty 7 (Employees)</w:t>
      </w:r>
    </w:p>
    <w:p>
      <w:pPr>
        <w:spacing w:before="40" w:after="100"/>
        <w:ind w:left="1368" w:hanging="648"/>
        <w:jc w:val="both"/>
      </w:pPr>
      <w:r>
        <w:t xml:space="preserve">7.1	</w:t>
      </w:r>
      <w:r>
        <w:t xml:space="preserve">One former employee has raised an informal grievance regarding accrued holiday pay on termination. The matter is not material, is estimated at under £4,000, and no claim has been issued or, so far as the Warrantors are aware, threatened.</w:t>
      </w:r>
    </w:p>
    <w:p>
      <w:pPr>
        <w:spacing w:before="40" w:after="100"/>
        <w:ind w:left="1368" w:hanging="648"/>
        <w:jc w:val="both"/>
      </w:pPr>
      <w:r>
        <w:t xml:space="preserve">7.2	</w:t>
      </w:r>
      <w:r>
        <w:t xml:space="preserve">Two senior engineers are on fixed-term contracts expiring in 2026; particulars are at document 7.3 of the Disclosure Bundle.</w:t>
      </w:r>
    </w:p>
    <w:p>
      <w:pPr>
        <w:spacing w:before="120" w:after="40"/>
        <w:jc w:val="left"/>
      </w:pPr>
      <w:r>
        <w:rPr>
          <w:b/>
        </w:rPr>
        <w:t xml:space="preserve">Warranty 8 (Litigation and compliance)</w:t>
      </w:r>
    </w:p>
    <w:p>
      <w:pPr>
        <w:spacing w:before="40" w:after="100"/>
        <w:ind w:left="1368" w:hanging="648"/>
        <w:jc w:val="both"/>
      </w:pPr>
      <w:r>
        <w:t xml:space="preserve">8.1	</w:t>
      </w:r>
      <w:r>
        <w:t xml:space="preserve">Save as disclosed at paragraph 7.1, the Company is not engaged in, and so far as the Warrantors are aware is not threatened with, any litigation, arbitration or regulatory proceedings.</w:t>
      </w:r>
    </w:p>
    <w:p>
      <w:pPr>
        <w:spacing w:before="120" w:after="40"/>
        <w:jc w:val="left"/>
      </w:pPr>
      <w:r>
        <w:rPr>
          <w:b/>
        </w:rPr>
        <w:t xml:space="preserve">Warranty 10 (Tax)</w:t>
      </w:r>
    </w:p>
    <w:p>
      <w:pPr>
        <w:spacing w:before="40" w:after="100"/>
        <w:ind w:left="1368" w:hanging="648"/>
        <w:jc w:val="both"/>
      </w:pPr>
      <w:r>
        <w:t xml:space="preserve">10.1	</w:t>
      </w:r>
      <w:r>
        <w:t xml:space="preserve">The Company has claimed research and development tax relief for the accounting periods ended 31 December 2023 and 2024. The 2024 claim remains subject to HMRC’s standard processing and has not yet been finally agreed. Copies of the claims are at documents 10.1–10.2 of the Disclosure Bundle.</w:t>
      </w:r>
    </w:p>
    <w:p>
      <w:pPr>
        <w:spacing w:before="40" w:after="120"/>
        <w:ind w:left="720" w:hanging="720"/>
        <w:jc w:val="both"/>
      </w:pPr>
      <w:r>
        <w:rPr>
          <w:b/>
        </w:rPr>
        <w:t xml:space="preserve">4.	</w:t>
      </w:r>
      <w:r>
        <w:rPr>
          <w:b/>
        </w:rPr>
        <w:t xml:space="preserve">DISCLOSURE BUNDLE</w:t>
      </w:r>
    </w:p>
    <w:p>
      <w:pPr>
        <w:spacing w:before="40" w:after="120"/>
        <w:jc w:val="both"/>
      </w:pPr>
      <w:r>
        <w:t xml:space="preserve">The Disclosure Bundle comprises the documents in the data room index annexed to this letter. The principal documents are summarised below:</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t>Doc</w:t>
            </w:r>
          </w:p>
        </w:tc>
        <w:tc>
          <w:tcPr>
            <w:tcW w:type="dxa" w:w="4680"/>
          </w:tcPr>
          <w:p>
            <w:r>
              <w:rPr>
                <w:b/>
                <w:sz w:val="18"/>
              </w:rPr>
              <w:t>Description</w:t>
            </w:r>
          </w:p>
        </w:tc>
      </w:tr>
      <w:tr>
        <w:tc>
          <w:tcPr>
            <w:tcW w:type="dxa" w:w="4680"/>
          </w:tcPr>
          <w:p>
            <w:r>
              <w:rPr>
                <w:sz w:val="18"/>
              </w:rPr>
              <w:t>3.7</w:t>
            </w:r>
          </w:p>
        </w:tc>
        <w:tc>
          <w:tcPr>
            <w:tcW w:type="dxa" w:w="4680"/>
          </w:tcPr>
          <w:p>
            <w:r>
              <w:rPr>
                <w:sz w:val="18"/>
              </w:rPr>
              <w:t>Open-source component register</w:t>
            </w:r>
          </w:p>
        </w:tc>
      </w:tr>
      <w:tr>
        <w:tc>
          <w:tcPr>
            <w:tcW w:type="dxa" w:w="4680"/>
          </w:tcPr>
          <w:p>
            <w:r>
              <w:rPr>
                <w:sz w:val="18"/>
              </w:rPr>
              <w:t>5.2</w:t>
            </w:r>
          </w:p>
        </w:tc>
        <w:tc>
          <w:tcPr>
            <w:tcW w:type="dxa" w:w="4680"/>
          </w:tcPr>
          <w:p>
            <w:r>
              <w:rPr>
                <w:sz w:val="18"/>
              </w:rPr>
              <w:t>Hartwell Energy plc master subscription agreement</w:t>
            </w:r>
          </w:p>
        </w:tc>
      </w:tr>
      <w:tr>
        <w:tc>
          <w:tcPr>
            <w:tcW w:type="dxa" w:w="4680"/>
          </w:tcPr>
          <w:p>
            <w:r>
              <w:rPr>
                <w:sz w:val="18"/>
              </w:rPr>
              <w:t>7.3</w:t>
            </w:r>
          </w:p>
        </w:tc>
        <w:tc>
          <w:tcPr>
            <w:tcW w:type="dxa" w:w="4680"/>
          </w:tcPr>
          <w:p>
            <w:r>
              <w:rPr>
                <w:sz w:val="18"/>
              </w:rPr>
              <w:t>Senior employee contracts (fixed term)</w:t>
            </w:r>
          </w:p>
        </w:tc>
      </w:tr>
      <w:tr>
        <w:tc>
          <w:tcPr>
            <w:tcW w:type="dxa" w:w="4680"/>
          </w:tcPr>
          <w:p>
            <w:r>
              <w:rPr>
                <w:sz w:val="18"/>
              </w:rPr>
              <w:t>10.1–10.2</w:t>
            </w:r>
          </w:p>
        </w:tc>
        <w:tc>
          <w:tcPr>
            <w:tcW w:type="dxa" w:w="4680"/>
          </w:tcPr>
          <w:p>
            <w:r>
              <w:rPr>
                <w:sz w:val="18"/>
              </w:rPr>
              <w:t>R&amp;D tax relief claims (2023, 2024)</w:t>
            </w:r>
          </w:p>
        </w:tc>
      </w:tr>
      <w:tr>
        <w:tc>
          <w:tcPr>
            <w:tcW w:type="dxa" w:w="4680"/>
          </w:tcPr>
          <w:p>
            <w:r>
              <w:rPr>
                <w:sz w:val="18"/>
              </w:rPr>
              <w:t>—</w:t>
            </w:r>
          </w:p>
        </w:tc>
        <w:tc>
          <w:tcPr>
            <w:tcW w:type="dxa" w:w="4680"/>
          </w:tcPr>
          <w:p>
            <w:r>
              <w:rPr>
                <w:sz w:val="18"/>
              </w:rPr>
              <w:t>Full data-room index (as at 13 March 2026)</w:t>
            </w:r>
          </w:p>
        </w:tc>
      </w:tr>
    </w:tbl>
    <w:p>
      <w:pPr>
        <w:spacing w:before="200" w:after="160"/>
        <w:jc w:val="left"/>
      </w:pPr>
      <w:r>
        <w:t xml:space="preserve">Yours faithfully</w:t>
      </w:r>
    </w:p>
    <w:p>
      <w:pPr>
        <w:spacing w:before="40" w:after="40"/>
        <w:jc w:val="left"/>
      </w:pPr>
      <w:r>
        <w:t xml:space="preserve">____________________________________</w:t>
      </w:r>
    </w:p>
    <w:p>
      <w:pPr>
        <w:spacing w:before="40" w:after="20"/>
        <w:jc w:val="left"/>
      </w:pPr>
      <w:r>
        <w:rPr>
          <w:b/>
        </w:rPr>
        <w:t xml:space="preserve">Henry Larsson</w:t>
      </w:r>
    </w:p>
    <w:p>
      <w:pPr>
        <w:spacing w:before="40" w:after="20"/>
        <w:jc w:val="left"/>
      </w:pPr>
      <w:r>
        <w:t xml:space="preserve">Chief Executive Officer</w:t>
      </w:r>
    </w:p>
    <w:p>
      <w:pPr>
        <w:spacing w:before="40" w:after="120"/>
        <w:jc w:val="left"/>
      </w:pPr>
      <w:r>
        <w:t xml:space="preserve">for and on behalf of Caspian Technologies Limited and the Founders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Kestrel — Disclosure Letter — Strictly private &amp; confidential — Subject to contract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