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0"/>
        <w:jc w:val="center"/>
      </w:pPr>
      <w:r>
        <w:rPr>
          <w:b/>
        </w:rPr>
        <w:t xml:space="preserve">DATED 2026</w:t>
      </w:r>
    </w:p>
    <w:p>
      <w:pPr>
        <w:spacing w:before="80" w:after="160"/>
        <w:jc w:val="center"/>
      </w:pPr>
      <w:r>
        <w:rPr>
          <w:b/>
          <w:sz w:val="32"/>
        </w:rPr>
        <w:t xml:space="preserve">INVESTOR RIGHTS AGREEMENT</w:t>
      </w:r>
    </w:p>
    <w:p>
      <w:pPr>
        <w:spacing w:before="40" w:after="40"/>
        <w:jc w:val="center"/>
      </w:pPr>
      <w:r>
        <w:t xml:space="preserve">relating to</w:t>
      </w:r>
    </w:p>
    <w:p>
      <w:pPr>
        <w:spacing w:before="80" w:after="160"/>
        <w:jc w:val="center"/>
      </w:pPr>
      <w:r>
        <w:rPr>
          <w:b/>
          <w:sz w:val="28"/>
        </w:rPr>
        <w:t xml:space="preserve">CASPIAN TECHNOLOGIES LIMITED</w:t>
      </w:r>
    </w:p>
    <w:p>
      <w:pPr>
        <w:spacing w:before="40" w:after="160"/>
        <w:jc w:val="center"/>
      </w:pPr>
      <w:r>
        <w:rPr>
          <w:i/>
          <w:sz w:val="18"/>
        </w:rPr>
        <w:t xml:space="preserve">Draft v1 (clean) — 9 March 2026 — prepared by Whitfield Carter LLP</w:t>
      </w:r>
    </w:p>
    <w:p>
      <w:pPr>
        <w:pBdr>
          <w:bottom w:val="single" w:sz="6" w:space="1" w:color="999999"/>
        </w:pBdr>
      </w:pPr>
    </w:p>
    <w:p>
      <w:pPr>
        <w:spacing w:before="200" w:after="80"/>
        <w:jc w:val="left"/>
      </w:pPr>
      <w:r>
        <w:rPr>
          <w:b/>
        </w:rPr>
        <w:t xml:space="preserve">PARTIES</w:t>
      </w:r>
    </w:p>
    <w:p>
      <w:pPr>
        <w:spacing w:before="40" w:after="120"/>
        <w:ind w:left="720" w:hanging="720"/>
        <w:jc w:val="both"/>
      </w:pPr>
      <w:r>
        <w:t xml:space="preserve">(1)	</w:t>
      </w:r>
      <w:r>
        <w:rPr>
          <w:b/>
        </w:rPr>
        <w:t xml:space="preserve">CASPIAN TECHNOLOGIES LIMITED</w:t>
      </w:r>
      <w:r>
        <w:t xml:space="preserve"> (no. 11428637) (the “Company”);</w:t>
      </w:r>
    </w:p>
    <w:p>
      <w:pPr>
        <w:spacing w:before="40" w:after="120"/>
        <w:ind w:left="720" w:hanging="720"/>
        <w:jc w:val="both"/>
      </w:pPr>
      <w:r>
        <w:t xml:space="preserve">(2)	</w:t>
      </w:r>
      <w:r>
        <w:rPr>
          <w:b/>
        </w:rPr>
        <w:t xml:space="preserve">HENRY LARSSON</w:t>
      </w:r>
      <w:r>
        <w:t xml:space="preserve"> and </w:t>
      </w:r>
      <w:r>
        <w:rPr>
          <w:b/>
        </w:rPr>
        <w:t xml:space="preserve">THEO ERIKSSON</w:t>
      </w:r>
      <w:r>
        <w:t xml:space="preserve"> (together the “Founders”); and</w:t>
      </w:r>
    </w:p>
    <w:p>
      <w:pPr>
        <w:spacing w:before="40" w:after="120"/>
        <w:ind w:left="720" w:hanging="720"/>
        <w:jc w:val="both"/>
      </w:pPr>
      <w:r>
        <w:t xml:space="preserve">(3)	</w:t>
      </w:r>
      <w:r>
        <w:rPr>
          <w:b/>
        </w:rPr>
        <w:t xml:space="preserve">RAVENSWORTH VENTURES LLP</w:t>
      </w:r>
      <w:r>
        <w:t xml:space="preserve"> (no. OC419882) (the “Investor”).</w:t>
      </w:r>
    </w:p>
    <w:p>
      <w:pPr>
        <w:spacing w:before="40" w:after="120"/>
        <w:jc w:val="both"/>
      </w:pPr>
      <w:r>
        <w:t xml:space="preserve">This Agreement takes effect from completion of the subscription by the Investor for 2,000,000 Series B Preferred Shares under the Subscription Agreement (“Completion”).</w:t>
      </w:r>
    </w:p>
    <w:p>
      <w:pPr>
        <w:spacing w:before="40" w:after="120"/>
        <w:ind w:left="720" w:hanging="720"/>
        <w:jc w:val="both"/>
      </w:pPr>
      <w:r>
        <w:rPr>
          <w:b/>
        </w:rPr>
        <w:t xml:space="preserve">1.	</w:t>
      </w:r>
      <w:r>
        <w:rPr>
          <w:b/>
        </w:rPr>
        <w:t xml:space="preserve">INFORMATION RIGHTS</w:t>
      </w:r>
    </w:p>
    <w:p>
      <w:pPr>
        <w:spacing w:before="40" w:after="100"/>
        <w:ind w:left="1368" w:hanging="648"/>
        <w:jc w:val="both"/>
      </w:pPr>
      <w:r>
        <w:t xml:space="preserve">1.1	</w:t>
      </w:r>
      <w:r>
        <w:t xml:space="preserve">For so long as the Investor holds any Series B Preferred Shares, the Company shall provide the Investor with: (a) unaudited monthly management accounts within 20 Business Days of each month end; (b) a draft annual budget and business plan at least 30 days before the start of each financial year; and (c) audited annual accounts within four months of the financial year end.</w:t>
      </w:r>
    </w:p>
    <w:p>
      <w:pPr>
        <w:spacing w:before="40" w:after="100"/>
        <w:ind w:left="1368" w:hanging="648"/>
        <w:jc w:val="both"/>
      </w:pPr>
      <w:r>
        <w:t xml:space="preserve">1.2	</w:t>
      </w:r>
      <w:r>
        <w:t xml:space="preserve">The Company shall provide the Investor with such other information relating to the business, assets and affairs of the Company as the Investor may reasonably request, and shall procure reasonable access to the Company’s management and premises on reasonable notice.</w:t>
      </w:r>
    </w:p>
    <w:p>
      <w:pPr>
        <w:spacing w:before="40" w:after="100"/>
        <w:ind w:left="1368" w:hanging="648"/>
        <w:jc w:val="both"/>
      </w:pPr>
      <w:r>
        <w:t xml:space="preserve">1.3	</w:t>
      </w:r>
      <w:r>
        <w:t xml:space="preserve">The Investor shall keep all such information confidential in accordance with clause 9, save that it may share it with its members, advisers and bona fide prospective transferees who are bound by equivalent obligations.</w:t>
      </w:r>
    </w:p>
    <w:p>
      <w:pPr>
        <w:spacing w:before="40" w:after="120"/>
        <w:ind w:left="720" w:hanging="720"/>
        <w:jc w:val="both"/>
      </w:pPr>
      <w:r>
        <w:rPr>
          <w:b/>
        </w:rPr>
        <w:t xml:space="preserve">2.	</w:t>
      </w:r>
      <w:r>
        <w:rPr>
          <w:b/>
        </w:rPr>
        <w:t xml:space="preserve">BOARD REPRESENTATION</w:t>
      </w:r>
    </w:p>
    <w:p>
      <w:pPr>
        <w:spacing w:before="40" w:after="100"/>
        <w:ind w:left="1368" w:hanging="648"/>
        <w:jc w:val="both"/>
      </w:pPr>
      <w:r>
        <w:t xml:space="preserve">2.1	</w:t>
      </w:r>
      <w:r>
        <w:t xml:space="preserve">For so long as the Investor holds not less than 10% of the issued share capital, the Investor may appoint and remove one non-executive director (the “Investor Director”) and one non-voting board observer. The Investor’s initial appointee as Investor Director is Aisha Chowdhury.</w:t>
      </w:r>
    </w:p>
    <w:p>
      <w:pPr>
        <w:spacing w:before="40" w:after="100"/>
        <w:ind w:left="1368" w:hanging="648"/>
        <w:jc w:val="both"/>
      </w:pPr>
      <w:r>
        <w:t xml:space="preserve">2.2	</w:t>
      </w:r>
      <w:r>
        <w:t xml:space="preserve">The board shall meet not less than ten times per year on not less than five Business Days’ notice (unless waived). The quorum for a board meeting shall include the Investor Director, save that if a meeting is inquorate solely through the absence of the Investor Director it may be adjourned and the Investor Director’s presence shall not be required at the adjourned meeting.</w:t>
      </w:r>
    </w:p>
    <w:p>
      <w:pPr>
        <w:spacing w:before="40" w:after="100"/>
        <w:ind w:left="1368" w:hanging="648"/>
        <w:jc w:val="both"/>
      </w:pPr>
      <w:r>
        <w:t xml:space="preserve">2.3	</w:t>
      </w:r>
      <w:r>
        <w:t xml:space="preserve">The Company shall provide the Investor Director with the same information and at the same time as the other directors, and shall maintain directors’ and officers’ liability insurance on customary terms.</w:t>
      </w:r>
    </w:p>
    <w:p>
      <w:pPr>
        <w:spacing w:before="40" w:after="120"/>
        <w:ind w:left="720" w:hanging="720"/>
        <w:jc w:val="both"/>
      </w:pPr>
      <w:r>
        <w:rPr>
          <w:b/>
        </w:rPr>
        <w:t xml:space="preserve">3.	</w:t>
      </w:r>
      <w:r>
        <w:rPr>
          <w:b/>
        </w:rPr>
        <w:t xml:space="preserve">CONSENT MATTERS</w:t>
      </w:r>
    </w:p>
    <w:p>
      <w:pPr>
        <w:spacing w:before="40" w:after="100"/>
        <w:ind w:left="1368" w:hanging="648"/>
        <w:jc w:val="both"/>
      </w:pPr>
      <w:r>
        <w:t xml:space="preserve">3.1	</w:t>
      </w:r>
      <w:r>
        <w:t xml:space="preserve">The Company shall not, and the Founders shall procure that the Company shall not, without the prior written consent of the Investor, undertake any of the matters set out in the Schedule (Consent Matters), which include the creation or issue of shares, borrowings in excess of £2,000,000 in aggregate, related-party transactions, material acquisitions or disposals, changes to the Articles, and the approval or material amendment of the annual budget.</w:t>
      </w:r>
    </w:p>
    <w:p>
      <w:pPr>
        <w:spacing w:before="40" w:after="120"/>
        <w:ind w:left="720" w:hanging="720"/>
        <w:jc w:val="both"/>
      </w:pPr>
      <w:r>
        <w:rPr>
          <w:b/>
        </w:rPr>
        <w:t xml:space="preserve">4.	</w:t>
      </w:r>
      <w:r>
        <w:rPr>
          <w:b/>
        </w:rPr>
        <w:t xml:space="preserve">PRE-EMPTION ON NEW ISSUES</w:t>
      </w:r>
    </w:p>
    <w:p>
      <w:pPr>
        <w:spacing w:before="40" w:after="100"/>
        <w:ind w:left="1368" w:hanging="648"/>
        <w:jc w:val="both"/>
      </w:pPr>
      <w:r>
        <w:t xml:space="preserve">4.1	</w:t>
      </w:r>
      <w:r>
        <w:t xml:space="preserve">Before issuing any new shares (or instruments convertible into shares), the Company shall first offer them to the existing holders of Preferred Shares pro rata to their holdings (calculated on an as-converted basis), save for Permitted Issues, which include shares issued under the EMI option pool (up to 600,000 ordinary shares) and shares issued on a bona fide acquisition approved by the board (including the Investor Director).</w:t>
      </w:r>
    </w:p>
    <w:p>
      <w:pPr>
        <w:spacing w:before="40" w:after="100"/>
        <w:ind w:left="1368" w:hanging="648"/>
        <w:jc w:val="both"/>
      </w:pPr>
      <w:r>
        <w:t xml:space="preserve">4.2	</w:t>
      </w:r>
      <w:r>
        <w:t xml:space="preserve">An offer under clause 4.1 shall be open for acceptance for not less than 14 days. Shares not taken up may be issued to other persons within three months at a price and on terms no more favourable than those offered.</w:t>
      </w:r>
    </w:p>
    <w:p>
      <w:pPr>
        <w:spacing w:before="40" w:after="120"/>
        <w:ind w:left="720" w:hanging="720"/>
        <w:jc w:val="both"/>
      </w:pPr>
      <w:r>
        <w:rPr>
          <w:b/>
        </w:rPr>
        <w:t xml:space="preserve">5.	</w:t>
      </w:r>
      <w:r>
        <w:rPr>
          <w:b/>
        </w:rPr>
        <w:t xml:space="preserve">ANTI-DILUTION</w:t>
      </w:r>
    </w:p>
    <w:p>
      <w:pPr>
        <w:spacing w:before="40" w:after="100"/>
        <w:ind w:left="1368" w:hanging="648"/>
        <w:jc w:val="both"/>
      </w:pPr>
      <w:r>
        <w:t xml:space="preserve">5.1	</w:t>
      </w:r>
      <w:r>
        <w:t xml:space="preserve">If the Company issues shares at a price per share below the Series B Subscription Price of £10.00 (a “Down Round”), the conversion rate of the Series B Preferred Shares shall be adjusted on a broad-based weighted-average basis in accordance with the formula set out in the Articles, subject to customary carve-outs for Permitted Issues.</w:t>
      </w:r>
    </w:p>
    <w:p>
      <w:pPr>
        <w:spacing w:before="40" w:after="120"/>
        <w:ind w:left="720" w:hanging="720"/>
        <w:jc w:val="both"/>
      </w:pPr>
      <w:r>
        <w:rPr>
          <w:b/>
        </w:rPr>
        <w:t xml:space="preserve">6.	</w:t>
      </w:r>
      <w:r>
        <w:rPr>
          <w:b/>
        </w:rPr>
        <w:t xml:space="preserve">TRANSFER RESTRICTIONS; DRAG AND TAG</w:t>
      </w:r>
    </w:p>
    <w:p>
      <w:pPr>
        <w:spacing w:before="40" w:after="100"/>
        <w:ind w:left="1368" w:hanging="648"/>
        <w:jc w:val="both"/>
      </w:pPr>
      <w:r>
        <w:t xml:space="preserve">6.1	</w:t>
      </w:r>
      <w:r>
        <w:t xml:space="preserve">No shareholder may transfer any share except in accordance with the Articles and this Agreement, which contain rights of first refusal in favour of existing shareholders.</w:t>
      </w:r>
    </w:p>
    <w:p>
      <w:pPr>
        <w:spacing w:before="40" w:after="100"/>
        <w:ind w:left="1368" w:hanging="648"/>
        <w:jc w:val="both"/>
      </w:pPr>
      <w:r>
        <w:t xml:space="preserve">6.2	</w:t>
      </w:r>
      <w:r>
        <w:t xml:space="preserve">If shareholders holding shares carrying more than 60% of the votes (including the Investor) accept a bona fide arm’s-length offer for the entire issued share capital, they may require all other shareholders to sell their shares on the same terms (the “Drag-Along Right”).</w:t>
      </w:r>
    </w:p>
    <w:p>
      <w:pPr>
        <w:spacing w:before="40" w:after="100"/>
        <w:ind w:left="1368" w:hanging="648"/>
        <w:jc w:val="both"/>
      </w:pPr>
      <w:r>
        <w:t xml:space="preserve">6.3	</w:t>
      </w:r>
      <w:r>
        <w:t xml:space="preserve">If any shareholder proposes to transfer shares to a third-party purchaser, the Investor may require the purchaser to acquire a proportionate number of the Investor’s shares on the same terms (the “Tag-Along Right”).</w:t>
      </w:r>
    </w:p>
    <w:p>
      <w:pPr>
        <w:spacing w:before="40" w:after="120"/>
        <w:ind w:left="720" w:hanging="720"/>
        <w:jc w:val="both"/>
      </w:pPr>
      <w:r>
        <w:rPr>
          <w:b/>
        </w:rPr>
        <w:t xml:space="preserve">7.	</w:t>
      </w:r>
      <w:r>
        <w:rPr>
          <w:b/>
        </w:rPr>
        <w:t xml:space="preserve">FOUNDER COMMITMENT AND LEAVER PROVISIONS</w:t>
      </w:r>
    </w:p>
    <w:p>
      <w:pPr>
        <w:spacing w:before="40" w:after="100"/>
        <w:ind w:left="1368" w:hanging="648"/>
        <w:jc w:val="both"/>
      </w:pPr>
      <w:r>
        <w:t xml:space="preserve">7.1	</w:t>
      </w:r>
      <w:r>
        <w:t xml:space="preserve">Each Founder undertakes to devote substantially the whole of his working time to the business of the Company, and not to be engaged in any competing business, for so long as he is an employee and director of the Company.</w:t>
      </w:r>
    </w:p>
    <w:p>
      <w:pPr>
        <w:spacing w:before="40" w:after="100"/>
        <w:ind w:left="1368" w:hanging="648"/>
        <w:jc w:val="both"/>
      </w:pPr>
      <w:r>
        <w:t xml:space="preserve">7.2	</w:t>
      </w:r>
      <w:r>
        <w:t xml:space="preserve">Founder shares are subject to good leaver / bad leaver provisions as set out in the Articles, with reverse vesting over the period ending on the third anniversary of Completion, such that a bad-leaver Founder may be required to transfer unvested shares at the lower of cost and fair value.</w:t>
      </w:r>
    </w:p>
    <w:p>
      <w:pPr>
        <w:spacing w:before="40" w:after="120"/>
        <w:ind w:left="720" w:hanging="720"/>
        <w:jc w:val="both"/>
      </w:pPr>
      <w:r>
        <w:rPr>
          <w:b/>
        </w:rPr>
        <w:t xml:space="preserve">8.	</w:t>
      </w:r>
      <w:r>
        <w:rPr>
          <w:b/>
        </w:rPr>
        <w:t xml:space="preserve">NON-COMPETE AND NON-SOLICIT</w:t>
      </w:r>
    </w:p>
    <w:p>
      <w:pPr>
        <w:spacing w:before="40" w:after="100"/>
        <w:ind w:left="1368" w:hanging="648"/>
        <w:jc w:val="both"/>
      </w:pPr>
      <w:r>
        <w:t xml:space="preserve">8.1	</w:t>
      </w:r>
      <w:r>
        <w:t xml:space="preserve">Each Founder severally undertakes that he shall not, for so long as he holds shares and for 12 months afterwards, carry on or be engaged in any business competing with the Company, nor solicit any senior employee, customer or supplier of the Company. Each restriction is separate and severable and is acknowledged to be reasonable.</w:t>
      </w:r>
    </w:p>
    <w:p>
      <w:pPr>
        <w:spacing w:before="40" w:after="120"/>
        <w:ind w:left="720" w:hanging="720"/>
        <w:jc w:val="both"/>
      </w:pPr>
      <w:r>
        <w:rPr>
          <w:b/>
        </w:rPr>
        <w:t xml:space="preserve">9.	</w:t>
      </w:r>
      <w:r>
        <w:rPr>
          <w:b/>
        </w:rPr>
        <w:t xml:space="preserve">CONFIDENTIALITY</w:t>
      </w:r>
    </w:p>
    <w:p>
      <w:pPr>
        <w:spacing w:before="40" w:after="100"/>
        <w:ind w:left="1368" w:hanging="648"/>
        <w:jc w:val="both"/>
      </w:pPr>
      <w:r>
        <w:t xml:space="preserve">9.1	</w:t>
      </w:r>
      <w:r>
        <w:t xml:space="preserve">Each party shall keep the terms of this Agreement and all confidential information of the Company confidential, save as required by law or as permitted under clause 1.3.</w:t>
      </w:r>
    </w:p>
    <w:p>
      <w:pPr>
        <w:spacing w:before="40" w:after="120"/>
        <w:ind w:left="720" w:hanging="720"/>
        <w:jc w:val="both"/>
      </w:pPr>
      <w:r>
        <w:rPr>
          <w:b/>
        </w:rPr>
        <w:t xml:space="preserve">10.	</w:t>
      </w:r>
      <w:r>
        <w:rPr>
          <w:b/>
        </w:rPr>
        <w:t xml:space="preserve">TERM AND TERMINATION</w:t>
      </w:r>
    </w:p>
    <w:p>
      <w:pPr>
        <w:spacing w:before="40" w:after="100"/>
        <w:ind w:left="1368" w:hanging="648"/>
        <w:jc w:val="both"/>
      </w:pPr>
      <w:r>
        <w:t xml:space="preserve">10.1	</w:t>
      </w:r>
      <w:r>
        <w:t xml:space="preserve">This Agreement continues until the earlier of (a) the date on which the Investor ceases to hold any shares, (b) the admission of the Company’s shares to trading on a recognised exchange, and (c) the date on which the parties agree in writing to terminate it, save that the confidentiality and any accrued-rights provisions survive.</w:t>
      </w:r>
    </w:p>
    <w:p>
      <w:pPr>
        <w:spacing w:before="40" w:after="120"/>
        <w:ind w:left="720" w:hanging="720"/>
        <w:jc w:val="both"/>
      </w:pPr>
      <w:r>
        <w:rPr>
          <w:b/>
        </w:rPr>
        <w:t xml:space="preserve">11.	</w:t>
      </w:r>
      <w:r>
        <w:rPr>
          <w:b/>
        </w:rPr>
        <w:t xml:space="preserve">GENERAL</w:t>
      </w:r>
    </w:p>
    <w:p>
      <w:pPr>
        <w:spacing w:before="40" w:after="100"/>
        <w:ind w:left="1368" w:hanging="648"/>
        <w:jc w:val="both"/>
      </w:pPr>
      <w:r>
        <w:t xml:space="preserve">11.1	</w:t>
      </w:r>
      <w:r>
        <w:t xml:space="preserve">This Agreement, the Subscription Agreement and the Articles constitute the entire agreement between the parties. In the event of any conflict between this Agreement and the Articles as between the parties, this Agreement prevails, and the parties shall exercise their rights to amend the Articles accordingly.</w:t>
      </w:r>
    </w:p>
    <w:p>
      <w:pPr>
        <w:spacing w:before="40" w:after="100"/>
        <w:ind w:left="1368" w:hanging="648"/>
        <w:jc w:val="both"/>
      </w:pPr>
      <w:r>
        <w:t xml:space="preserve">11.2	</w:t>
      </w:r>
      <w:r>
        <w:t xml:space="preserve">No variation is effective unless in writing and signed by the Company and the Investor. A person who is not a party has no rights under the Contracts (Rights of Third Parties) Act 1999, save that the Investor Director may enforce clause 2.</w:t>
      </w:r>
    </w:p>
    <w:p>
      <w:pPr>
        <w:spacing w:before="40" w:after="100"/>
        <w:ind w:left="1368" w:hanging="648"/>
        <w:jc w:val="both"/>
      </w:pPr>
      <w:r>
        <w:t xml:space="preserve">11.3	</w:t>
      </w:r>
      <w:r>
        <w:t xml:space="preserve">Notices shall be given in writing to the registered office or last-notified email address of the relevant party and take effect on delivery.</w:t>
      </w:r>
    </w:p>
    <w:p>
      <w:pPr>
        <w:spacing w:before="40" w:after="120"/>
        <w:ind w:left="720" w:hanging="720"/>
        <w:jc w:val="both"/>
      </w:pPr>
      <w:r>
        <w:rPr>
          <w:b/>
        </w:rPr>
        <w:t xml:space="preserve">12.	</w:t>
      </w:r>
      <w:r>
        <w:rPr>
          <w:b/>
        </w:rPr>
        <w:t xml:space="preserve">GOVERNING LAW AND JURISDICTION</w:t>
      </w:r>
    </w:p>
    <w:p>
      <w:pPr>
        <w:spacing w:before="40" w:after="100"/>
        <w:ind w:left="1368" w:hanging="648"/>
        <w:jc w:val="both"/>
      </w:pPr>
      <w:r>
        <w:t xml:space="preserve">12.1	</w:t>
      </w:r>
      <w:r>
        <w:t xml:space="preserve">This Agreement and any non-contractual obligations arising out of or in connection with it are governed by the law of England and Wales, and the parties submit to the exclusive jurisdiction of the English courts.</w:t>
      </w:r>
    </w:p>
    <w:p>
      <w:pPr>
        <w:spacing w:before="280" w:after="120"/>
        <w:jc w:val="center"/>
      </w:pPr>
      <w:r>
        <w:rPr>
          <w:b/>
        </w:rPr>
        <w:t xml:space="preserve">SCHEDULE — CONSENT MATTERS</w:t>
      </w:r>
    </w:p>
    <w:p>
      <w:pPr>
        <w:spacing w:before="40" w:after="120"/>
        <w:jc w:val="both"/>
      </w:pPr>
      <w:r>
        <w:t xml:space="preserve">The matters referred to in clause 3 (to be undertaken only with the prior written consent of the Investor):</w:t>
      </w:r>
    </w:p>
    <w:p>
      <w:pPr>
        <w:spacing w:before="40" w:after="60"/>
        <w:ind w:left="1008" w:hanging="432"/>
        <w:jc w:val="both"/>
      </w:pPr>
      <w:r>
        <w:t xml:space="preserve">•	</w:t>
      </w:r>
      <w:r>
        <w:t xml:space="preserve">altering the share capital or the rights attaching to any class of shares, or amending the Articles;</w:t>
      </w:r>
    </w:p>
    <w:p>
      <w:pPr>
        <w:spacing w:before="40" w:after="60"/>
        <w:ind w:left="1008" w:hanging="432"/>
        <w:jc w:val="both"/>
      </w:pPr>
      <w:r>
        <w:t xml:space="preserve">•	</w:t>
      </w:r>
      <w:r>
        <w:t xml:space="preserve">allotting or issuing any share or instrument convertible into shares, or granting any option, other than a Permitted Issue;</w:t>
      </w:r>
    </w:p>
    <w:p>
      <w:pPr>
        <w:spacing w:before="40" w:after="60"/>
        <w:ind w:left="1008" w:hanging="432"/>
        <w:jc w:val="both"/>
      </w:pPr>
      <w:r>
        <w:t xml:space="preserve">•	</w:t>
      </w:r>
      <w:r>
        <w:t xml:space="preserve">creating any borrowing or indebtedness in excess of £2,000,000 in aggregate, or any guarantee or Encumbrance other than in the ordinary course;</w:t>
      </w:r>
    </w:p>
    <w:p>
      <w:pPr>
        <w:spacing w:before="40" w:after="60"/>
        <w:ind w:left="1008" w:hanging="432"/>
        <w:jc w:val="both"/>
      </w:pPr>
      <w:r>
        <w:t xml:space="preserve">•	</w:t>
      </w:r>
      <w:r>
        <w:t xml:space="preserve">entering into any transaction with a Founder or connected person otherwise than at arm’s length;</w:t>
      </w:r>
    </w:p>
    <w:p>
      <w:pPr>
        <w:spacing w:before="40" w:after="60"/>
        <w:ind w:left="1008" w:hanging="432"/>
        <w:jc w:val="both"/>
      </w:pPr>
      <w:r>
        <w:t xml:space="preserve">•	</w:t>
      </w:r>
      <w:r>
        <w:t xml:space="preserve">acquiring or disposing of any business or material asset, or forming any subsidiary or joint venture;</w:t>
      </w:r>
    </w:p>
    <w:p>
      <w:pPr>
        <w:spacing w:before="40" w:after="60"/>
        <w:ind w:left="1008" w:hanging="432"/>
        <w:jc w:val="both"/>
      </w:pPr>
      <w:r>
        <w:t xml:space="preserve">•	</w:t>
      </w:r>
      <w:r>
        <w:t xml:space="preserve">making any material change to the nature of the business, approving or materially amending the annual budget, or declaring any dividend;</w:t>
      </w:r>
    </w:p>
    <w:p>
      <w:pPr>
        <w:spacing w:before="40" w:after="60"/>
        <w:ind w:left="1008" w:hanging="432"/>
        <w:jc w:val="both"/>
      </w:pPr>
      <w:r>
        <w:t xml:space="preserve">•	</w:t>
      </w:r>
      <w:r>
        <w:t xml:space="preserve">appointing or removing any director (other than the Investor Director), or changing the auditors or accounting reference date.</w:t>
      </w:r>
    </w:p>
    <w:p>
      <w:pPr>
        <w:spacing w:before="280" w:after="120"/>
        <w:jc w:val="center"/>
      </w:pPr>
      <w:r>
        <w:rPr>
          <w:b/>
        </w:rPr>
        <w:t xml:space="preserve">EXECUTION</w:t>
      </w:r>
    </w:p>
    <w:p>
      <w:pPr>
        <w:spacing w:before="40" w:after="120"/>
        <w:jc w:val="left"/>
      </w:pPr>
      <w:r>
        <w:t xml:space="preserve">This Agreement has been entered into on the date stated at the beginning of it.</w:t>
      </w:r>
    </w:p>
    <w:p>
      <w:pPr>
        <w:spacing w:before="200" w:after="40"/>
        <w:jc w:val="left"/>
      </w:pPr>
      <w:r>
        <w:rPr>
          <w:b/>
        </w:rPr>
        <w:t xml:space="preserve">SIGNED</w:t>
      </w:r>
    </w:p>
    <w:p>
      <w:pPr>
        <w:spacing w:before="40" w:after="200"/>
        <w:jc w:val="left"/>
      </w:pPr>
      <w:r>
        <w:t xml:space="preserve">for and on behalf of </w:t>
      </w:r>
      <w:r>
        <w:rPr>
          <w:b/>
        </w:rPr>
        <w:t xml:space="preserve">CASPIAN TECHNOLOGIES LIMITED</w:t>
      </w:r>
    </w:p>
    <w:p>
      <w:pPr>
        <w:spacing w:before="40" w:after="40"/>
        <w:jc w:val="left"/>
      </w:pPr>
      <w:r>
        <w:t xml:space="preserve">____________________________________</w:t>
      </w:r>
    </w:p>
    <w:p>
      <w:pPr>
        <w:spacing w:before="40" w:after="40"/>
        <w:jc w:val="left"/>
      </w:pPr>
      <w:r>
        <w:t xml:space="preserve">Name: </w:t>
      </w:r>
      <w:r>
        <w:rPr>
          <w:b/>
        </w:rPr>
        <w:t xml:space="preserve">Henry Larsson</w:t>
      </w:r>
    </w:p>
    <w:p>
      <w:pPr>
        <w:spacing w:before="40" w:after="40"/>
        <w:jc w:val="left"/>
      </w:pPr>
      <w:r>
        <w:t xml:space="preserve">Title: Director, for and on behalf of Caspian Technologies Limited</w:t>
      </w:r>
    </w:p>
    <w:p>
      <w:pPr>
        <w:spacing w:before="40" w:after="200"/>
        <w:jc w:val="left"/>
      </w:pPr>
      <w:r>
        <w:t xml:space="preserve">Date: ___________________</w:t>
      </w:r>
    </w:p>
    <w:p>
      <w:pPr>
        <w:spacing w:before="200" w:after="40"/>
        <w:jc w:val="left"/>
      </w:pPr>
      <w:r>
        <w:rPr>
          <w:b/>
        </w:rPr>
        <w:t xml:space="preserve">SIGNED</w:t>
      </w:r>
    </w:p>
    <w:p>
      <w:pPr>
        <w:spacing w:before="40" w:after="200"/>
        <w:jc w:val="left"/>
      </w:pPr>
      <w:r>
        <w:t xml:space="preserve">for and on behalf of </w:t>
      </w:r>
      <w:r>
        <w:rPr>
          <w:b/>
        </w:rPr>
        <w:t xml:space="preserve">THEO ERIKSSON</w:t>
      </w:r>
    </w:p>
    <w:p>
      <w:pPr>
        <w:spacing w:before="40" w:after="40"/>
        <w:jc w:val="left"/>
      </w:pPr>
      <w:r>
        <w:t xml:space="preserve">____________________________________</w:t>
      </w:r>
    </w:p>
    <w:p>
      <w:pPr>
        <w:spacing w:before="40" w:after="40"/>
        <w:jc w:val="left"/>
      </w:pPr>
      <w:r>
        <w:t xml:space="preserve">Name: </w:t>
      </w:r>
      <w:r>
        <w:rPr>
          <w:b/>
        </w:rPr>
        <w:t xml:space="preserve">Theo Eriksson</w:t>
      </w:r>
    </w:p>
    <w:p>
      <w:pPr>
        <w:spacing w:before="40" w:after="40"/>
        <w:jc w:val="left"/>
      </w:pPr>
      <w:r>
        <w:t xml:space="preserve">Title: Founder</w:t>
      </w:r>
    </w:p>
    <w:p>
      <w:pPr>
        <w:spacing w:before="40" w:after="200"/>
        <w:jc w:val="left"/>
      </w:pPr>
      <w:r>
        <w:t xml:space="preserve">Date: ___________________</w:t>
      </w:r>
    </w:p>
    <w:p>
      <w:pPr>
        <w:spacing w:before="200" w:after="40"/>
        <w:jc w:val="left"/>
      </w:pPr>
      <w:r>
        <w:rPr>
          <w:b/>
        </w:rPr>
        <w:t xml:space="preserve">SIGNED</w:t>
      </w:r>
    </w:p>
    <w:p>
      <w:pPr>
        <w:spacing w:before="40" w:after="200"/>
        <w:jc w:val="left"/>
      </w:pPr>
      <w:r>
        <w:t xml:space="preserve">for and on behalf of </w:t>
      </w:r>
      <w:r>
        <w:rPr>
          <w:b/>
        </w:rPr>
        <w:t xml:space="preserve">RAVENSWORTH VENTURES LLP</w:t>
      </w:r>
    </w:p>
    <w:p>
      <w:pPr>
        <w:spacing w:before="40" w:after="40"/>
        <w:jc w:val="left"/>
      </w:pPr>
      <w:r>
        <w:t xml:space="preserve">____________________________________</w:t>
      </w:r>
    </w:p>
    <w:p>
      <w:pPr>
        <w:spacing w:before="40" w:after="40"/>
        <w:jc w:val="left"/>
      </w:pPr>
      <w:r>
        <w:t xml:space="preserve">Name: </w:t>
      </w:r>
      <w:r>
        <w:rPr>
          <w:b/>
        </w:rPr>
        <w:t xml:space="preserve">Victor Underwood</w:t>
      </w:r>
    </w:p>
    <w:p>
      <w:pPr>
        <w:spacing w:before="40" w:after="40"/>
        <w:jc w:val="left"/>
      </w:pPr>
      <w:r>
        <w:t xml:space="preserve">Title: Managing Partner, for and on behalf of Ravensworth Ventures LLP</w:t>
      </w:r>
    </w:p>
    <w:p>
      <w:pPr>
        <w:spacing w:before="40" w:after="200"/>
        <w:jc w:val="left"/>
      </w:pPr>
      <w:r>
        <w:t xml:space="preserve">Date: 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Project Kestrel — Investor Rights Agreement — Strictly private &amp;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