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center"/>
      </w:pPr>
      <w:r>
        <w:rPr>
          <w:b/>
          <w:sz w:val="30"/>
        </w:rPr>
        <w:t xml:space="preserve">SERIES B PREFERRED SHARE TERM SHEET</w:t>
      </w:r>
    </w:p>
    <w:p>
      <w:pPr>
        <w:spacing w:before="40" w:after="40"/>
        <w:jc w:val="center"/>
      </w:pPr>
      <w:r>
        <w:rPr>
          <w:i/>
        </w:rPr>
        <w:t xml:space="preserve">Project Kestrel — Caspian Technologies Limited</w:t>
      </w:r>
    </w:p>
    <w:p>
      <w:pPr>
        <w:spacing w:before="40" w:after="160"/>
        <w:jc w:val="center"/>
      </w:pPr>
      <w:r>
        <w:rPr>
          <w:i/>
          <w:sz w:val="18"/>
        </w:rPr>
        <w:t xml:space="preserve">Dated 23 January 2026</w:t>
      </w:r>
    </w:p>
    <w:p>
      <w:pPr>
        <w:spacing w:before="40" w:after="160"/>
        <w:jc w:val="both"/>
      </w:pPr>
      <w:r>
        <w:t xml:space="preserve">This term sheet summarises the principal terms on which Ravensworth Ventures LLP (the “Investor”) proposes to subscribe for Series B Preferred Shares in Caspian Technologies Limited (the “Company”). Save for the sections headed “Exclusivity”, “Costs”, and “Confidentiality and governing law” (which are legally binding), this term sheet is not legally binding, is subject to contract, and is conditional on satisfactory completion of due diligence and agreement of definitive documentation.</w:t>
      </w:r>
    </w:p>
    <w:p>
      <w:pPr>
        <w:spacing w:before="200" w:after="80"/>
        <w:jc w:val="left"/>
      </w:pPr>
      <w:r>
        <w:rPr>
          <w:b/>
        </w:rPr>
        <w:t xml:space="preserve">A. The Round</w:t>
      </w:r>
    </w:p>
    <w:tbl>
      <w:tblPr>
        <w:tblStyle w:val="LightGrid-Accent1"/>
        <w:tblW w:type="auto" w:w="0"/>
        <w:tblLook w:firstColumn="1" w:firstRow="1" w:lastColumn="0" w:lastRow="0" w:noHBand="0" w:noVBand="1" w:val="04A0"/>
      </w:tblPr>
      <w:tblGrid>
        <w:gridCol w:w="4680"/>
        <w:gridCol w:w="4680"/>
      </w:tblGrid>
      <w:tr>
        <w:tc>
          <w:tcPr>
            <w:tcW w:type="dxa" w:w="4680"/>
          </w:tcPr>
          <w:p>
            <w:r>
              <w:rPr>
                <w:b/>
                <w:sz w:val="18"/>
              </w:rPr>
              <w:t>Term</w:t>
            </w:r>
          </w:p>
        </w:tc>
        <w:tc>
          <w:tcPr>
            <w:tcW w:type="dxa" w:w="4680"/>
          </w:tcPr>
          <w:p>
            <w:r>
              <w:rPr>
                <w:b/>
                <w:sz w:val="18"/>
              </w:rPr>
              <w:t>Detail</w:t>
            </w:r>
          </w:p>
        </w:tc>
      </w:tr>
      <w:tr>
        <w:tc>
          <w:tcPr>
            <w:tcW w:type="dxa" w:w="4680"/>
          </w:tcPr>
          <w:p>
            <w:r>
              <w:rPr>
                <w:sz w:val="18"/>
              </w:rPr>
              <w:t>Company</w:t>
            </w:r>
          </w:p>
        </w:tc>
        <w:tc>
          <w:tcPr>
            <w:tcW w:type="dxa" w:w="4680"/>
          </w:tcPr>
          <w:p>
            <w:r>
              <w:rPr>
                <w:sz w:val="18"/>
              </w:rPr>
              <w:t>Caspian Technologies Limited (no. 11428637)</w:t>
            </w:r>
          </w:p>
        </w:tc>
      </w:tr>
      <w:tr>
        <w:tc>
          <w:tcPr>
            <w:tcW w:type="dxa" w:w="4680"/>
          </w:tcPr>
          <w:p>
            <w:r>
              <w:rPr>
                <w:sz w:val="18"/>
              </w:rPr>
              <w:t>Investor</w:t>
            </w:r>
          </w:p>
        </w:tc>
        <w:tc>
          <w:tcPr>
            <w:tcW w:type="dxa" w:w="4680"/>
          </w:tcPr>
          <w:p>
            <w:r>
              <w:rPr>
                <w:sz w:val="18"/>
              </w:rPr>
              <w:t>Ravensworth Ventures LLP</w:t>
            </w:r>
          </w:p>
        </w:tc>
      </w:tr>
      <w:tr>
        <w:tc>
          <w:tcPr>
            <w:tcW w:type="dxa" w:w="4680"/>
          </w:tcPr>
          <w:p>
            <w:r>
              <w:rPr>
                <w:sz w:val="18"/>
              </w:rPr>
              <w:t>Security</w:t>
            </w:r>
          </w:p>
        </w:tc>
        <w:tc>
          <w:tcPr>
            <w:tcW w:type="dxa" w:w="4680"/>
          </w:tcPr>
          <w:p>
            <w:r>
              <w:rPr>
                <w:sz w:val="18"/>
              </w:rPr>
              <w:t>Series B Preferred Shares of £0.0001 each</w:t>
            </w:r>
          </w:p>
        </w:tc>
      </w:tr>
      <w:tr>
        <w:tc>
          <w:tcPr>
            <w:tcW w:type="dxa" w:w="4680"/>
          </w:tcPr>
          <w:p>
            <w:r>
              <w:rPr>
                <w:sz w:val="18"/>
              </w:rPr>
              <w:t>Pre-money valuation</w:t>
            </w:r>
          </w:p>
        </w:tc>
        <w:tc>
          <w:tcPr>
            <w:tcW w:type="dxa" w:w="4680"/>
          </w:tcPr>
          <w:p>
            <w:r>
              <w:rPr>
                <w:sz w:val="18"/>
              </w:rPr>
              <w:t>£60,000,000 (fully diluted)</w:t>
            </w:r>
          </w:p>
        </w:tc>
      </w:tr>
      <w:tr>
        <w:tc>
          <w:tcPr>
            <w:tcW w:type="dxa" w:w="4680"/>
          </w:tcPr>
          <w:p>
            <w:r>
              <w:rPr>
                <w:sz w:val="18"/>
              </w:rPr>
              <w:t>Investment amount</w:t>
            </w:r>
          </w:p>
        </w:tc>
        <w:tc>
          <w:tcPr>
            <w:tcW w:type="dxa" w:w="4680"/>
          </w:tcPr>
          <w:p>
            <w:r>
              <w:rPr>
                <w:sz w:val="18"/>
              </w:rPr>
              <w:t>£20,000,000</w:t>
            </w:r>
          </w:p>
        </w:tc>
      </w:tr>
      <w:tr>
        <w:tc>
          <w:tcPr>
            <w:tcW w:type="dxa" w:w="4680"/>
          </w:tcPr>
          <w:p>
            <w:r>
              <w:rPr>
                <w:sz w:val="18"/>
              </w:rPr>
              <w:t>Post-money valuation</w:t>
            </w:r>
          </w:p>
        </w:tc>
        <w:tc>
          <w:tcPr>
            <w:tcW w:type="dxa" w:w="4680"/>
          </w:tcPr>
          <w:p>
            <w:r>
              <w:rPr>
                <w:sz w:val="18"/>
              </w:rPr>
              <w:t>£80,000,000</w:t>
            </w:r>
          </w:p>
        </w:tc>
      </w:tr>
      <w:tr>
        <w:tc>
          <w:tcPr>
            <w:tcW w:type="dxa" w:w="4680"/>
          </w:tcPr>
          <w:p>
            <w:r>
              <w:rPr>
                <w:sz w:val="18"/>
              </w:rPr>
              <w:t>Price per share</w:t>
            </w:r>
          </w:p>
        </w:tc>
        <w:tc>
          <w:tcPr>
            <w:tcW w:type="dxa" w:w="4680"/>
          </w:tcPr>
          <w:p>
            <w:r>
              <w:rPr>
                <w:sz w:val="18"/>
              </w:rPr>
              <w:t>£10.00</w:t>
            </w:r>
          </w:p>
        </w:tc>
      </w:tr>
      <w:tr>
        <w:tc>
          <w:tcPr>
            <w:tcW w:type="dxa" w:w="4680"/>
          </w:tcPr>
          <w:p>
            <w:r>
              <w:rPr>
                <w:sz w:val="18"/>
              </w:rPr>
              <w:t>New shares issued</w:t>
            </w:r>
          </w:p>
        </w:tc>
        <w:tc>
          <w:tcPr>
            <w:tcW w:type="dxa" w:w="4680"/>
          </w:tcPr>
          <w:p>
            <w:r>
              <w:rPr>
                <w:sz w:val="18"/>
              </w:rPr>
              <w:t>2,000,000 Series B Preferred Shares</w:t>
            </w:r>
          </w:p>
        </w:tc>
      </w:tr>
      <w:tr>
        <w:tc>
          <w:tcPr>
            <w:tcW w:type="dxa" w:w="4680"/>
          </w:tcPr>
          <w:p>
            <w:r>
              <w:rPr>
                <w:sz w:val="18"/>
              </w:rPr>
              <w:t>Resulting Investor holding</w:t>
            </w:r>
          </w:p>
        </w:tc>
        <w:tc>
          <w:tcPr>
            <w:tcW w:type="dxa" w:w="4680"/>
          </w:tcPr>
          <w:p>
            <w:r>
              <w:rPr>
                <w:sz w:val="18"/>
              </w:rPr>
              <w:t>25.0% of the enlarged fully-diluted share capital</w:t>
            </w:r>
          </w:p>
        </w:tc>
      </w:tr>
      <w:tr>
        <w:tc>
          <w:tcPr>
            <w:tcW w:type="dxa" w:w="4680"/>
          </w:tcPr>
          <w:p>
            <w:r>
              <w:rPr>
                <w:sz w:val="18"/>
              </w:rPr>
              <w:t>Option pool</w:t>
            </w:r>
          </w:p>
        </w:tc>
        <w:tc>
          <w:tcPr>
            <w:tcW w:type="dxa" w:w="4680"/>
          </w:tcPr>
          <w:p>
            <w:r>
              <w:rPr>
                <w:sz w:val="18"/>
              </w:rPr>
              <w:t>Existing EMI pool of 600,000 ordinary shares (10%) to be maintained</w:t>
            </w:r>
          </w:p>
        </w:tc>
      </w:tr>
    </w:tbl>
    <w:p>
      <w:pPr>
        <w:spacing w:before="200" w:after="80"/>
        <w:jc w:val="left"/>
      </w:pPr>
      <w:r>
        <w:rPr>
          <w:b/>
        </w:rPr>
        <w:t xml:space="preserve">B. Rights of the Series B Preferred Shares</w:t>
      </w:r>
    </w:p>
    <w:p>
      <w:pPr>
        <w:spacing w:before="40" w:after="120"/>
        <w:ind w:left="720" w:hanging="720"/>
        <w:jc w:val="both"/>
      </w:pPr>
      <w:r>
        <w:rPr>
          <w:b/>
        </w:rPr>
        <w:t xml:space="preserve">1.	</w:t>
      </w:r>
      <w:r>
        <w:rPr>
          <w:b/>
        </w:rPr>
        <w:t xml:space="preserve">Liquidation preference. </w:t>
      </w:r>
      <w:r>
        <w:t xml:space="preserve">1x non-participating preference on the Series B Preferred Shares, ranking ahead of the Series Seed Preferred and the Ordinary Shares on a return of capital, sale or winding-up. The Investor may elect instead to convert and share pro rata if that yields more.</w:t>
      </w:r>
    </w:p>
    <w:p>
      <w:pPr>
        <w:spacing w:before="40" w:after="120"/>
        <w:ind w:left="720" w:hanging="720"/>
        <w:jc w:val="both"/>
      </w:pPr>
      <w:r>
        <w:rPr>
          <w:b/>
        </w:rPr>
        <w:t xml:space="preserve">2.	</w:t>
      </w:r>
      <w:r>
        <w:rPr>
          <w:b/>
        </w:rPr>
        <w:t xml:space="preserve">Dividends. </w:t>
      </w:r>
      <w:r>
        <w:t xml:space="preserve">The Series B Preferred Shares carry no fixed dividend, but rank ahead of the Ordinary Shares on any dividend declared. No dividend may be declared without Investor consent (see Consent Matters).</w:t>
      </w:r>
    </w:p>
    <w:p>
      <w:pPr>
        <w:spacing w:before="40" w:after="120"/>
        <w:ind w:left="720" w:hanging="720"/>
        <w:jc w:val="both"/>
      </w:pPr>
      <w:r>
        <w:rPr>
          <w:b/>
        </w:rPr>
        <w:t xml:space="preserve">3.	</w:t>
      </w:r>
      <w:r>
        <w:rPr>
          <w:b/>
        </w:rPr>
        <w:t xml:space="preserve">Conversion. </w:t>
      </w:r>
      <w:r>
        <w:t xml:space="preserve">Convertible at the option of the holder into Ordinary Shares (initially 1:1), and automatically on a qualifying IPO. The conversion rate is subject to anti-dilution adjustment.</w:t>
      </w:r>
    </w:p>
    <w:p>
      <w:pPr>
        <w:spacing w:before="40" w:after="120"/>
        <w:ind w:left="720" w:hanging="720"/>
        <w:jc w:val="both"/>
      </w:pPr>
      <w:r>
        <w:rPr>
          <w:b/>
        </w:rPr>
        <w:t xml:space="preserve">4.	</w:t>
      </w:r>
      <w:r>
        <w:rPr>
          <w:b/>
        </w:rPr>
        <w:t xml:space="preserve">Anti-dilution. </w:t>
      </w:r>
      <w:r>
        <w:t xml:space="preserve">Broad-based weighted-average anti-dilution protection on the Series B Preferred Shares in the event of a down-round issue, subject to customary carve-outs (option pool, agreed Permitted Issues).</w:t>
      </w:r>
    </w:p>
    <w:p>
      <w:pPr>
        <w:spacing w:before="40" w:after="120"/>
        <w:ind w:left="720" w:hanging="720"/>
        <w:jc w:val="both"/>
      </w:pPr>
      <w:r>
        <w:rPr>
          <w:b/>
        </w:rPr>
        <w:t xml:space="preserve">5.	</w:t>
      </w:r>
      <w:r>
        <w:rPr>
          <w:b/>
        </w:rPr>
        <w:t xml:space="preserve">Voting. </w:t>
      </w:r>
      <w:r>
        <w:t xml:space="preserve">The Series B Preferred Shares carry the same voting rights as the Ordinary Shares on an as-converted basis, plus the class consents and Consent Matters described below.</w:t>
      </w:r>
    </w:p>
    <w:p>
      <w:pPr>
        <w:spacing w:before="200" w:after="80"/>
        <w:jc w:val="left"/>
      </w:pPr>
      <w:r>
        <w:rPr>
          <w:b/>
        </w:rPr>
        <w:t xml:space="preserve">C. Governance</w:t>
      </w:r>
    </w:p>
    <w:p>
      <w:pPr>
        <w:spacing w:before="40" w:after="120"/>
        <w:ind w:left="720" w:hanging="720"/>
        <w:jc w:val="both"/>
      </w:pPr>
      <w:r>
        <w:rPr>
          <w:b/>
        </w:rPr>
        <w:t xml:space="preserve">6.	</w:t>
      </w:r>
      <w:r>
        <w:rPr>
          <w:b/>
        </w:rPr>
        <w:t xml:space="preserve">Board. </w:t>
      </w:r>
      <w:r>
        <w:t xml:space="preserve">The Investor is entitled to appoint one director (the “Investor Director”, expected to be Aisha Chowdhury) and one board observer for so long as it holds at least 10% of the issued share capital. The board shall meet not less than ten times per year.</w:t>
      </w:r>
    </w:p>
    <w:p>
      <w:pPr>
        <w:spacing w:before="40" w:after="120"/>
        <w:ind w:left="720" w:hanging="720"/>
        <w:jc w:val="both"/>
      </w:pPr>
      <w:r>
        <w:rPr>
          <w:b/>
        </w:rPr>
        <w:t xml:space="preserve">7.	</w:t>
      </w:r>
      <w:r>
        <w:rPr>
          <w:b/>
        </w:rPr>
        <w:t xml:space="preserve">Consent matters. </w:t>
      </w:r>
      <w:r>
        <w:t xml:space="preserve">Specified Investor consent matters will apply, including (without limitation) the creation or issue of shares, borrowings above £2,000,000 in aggregate, related-party transactions, material acquisitions or disposals, changes to the Articles, and the approval of the annual budget.</w:t>
      </w:r>
    </w:p>
    <w:p>
      <w:pPr>
        <w:spacing w:before="40" w:after="120"/>
        <w:ind w:left="720" w:hanging="720"/>
        <w:jc w:val="both"/>
      </w:pPr>
      <w:r>
        <w:rPr>
          <w:b/>
        </w:rPr>
        <w:t xml:space="preserve">8.	</w:t>
      </w:r>
      <w:r>
        <w:rPr>
          <w:b/>
        </w:rPr>
        <w:t xml:space="preserve">Information rights. </w:t>
      </w:r>
      <w:r>
        <w:t xml:space="preserve">Monthly management accounts within 20 business days of month end, an annual budget at least 30 days before year start, and audited annual accounts within four months of year end.</w:t>
      </w:r>
    </w:p>
    <w:p>
      <w:pPr>
        <w:spacing w:before="200" w:after="80"/>
        <w:jc w:val="left"/>
      </w:pPr>
      <w:r>
        <w:rPr>
          <w:b/>
        </w:rPr>
        <w:t xml:space="preserve">D. Share dealings</w:t>
      </w:r>
    </w:p>
    <w:p>
      <w:pPr>
        <w:spacing w:before="40" w:after="120"/>
        <w:ind w:left="720" w:hanging="720"/>
        <w:jc w:val="both"/>
      </w:pPr>
      <w:r>
        <w:rPr>
          <w:b/>
        </w:rPr>
        <w:t xml:space="preserve">9.	</w:t>
      </w:r>
      <w:r>
        <w:rPr>
          <w:b/>
        </w:rPr>
        <w:t xml:space="preserve">Pre-emption. </w:t>
      </w:r>
      <w:r>
        <w:t xml:space="preserve">Pro-rata pre-emption rights for existing Preferred shareholders on new issues, save for Permitted Issues.</w:t>
      </w:r>
    </w:p>
    <w:p>
      <w:pPr>
        <w:spacing w:before="40" w:after="120"/>
        <w:ind w:left="720" w:hanging="720"/>
        <w:jc w:val="both"/>
      </w:pPr>
      <w:r>
        <w:rPr>
          <w:b/>
        </w:rPr>
        <w:t xml:space="preserve">10.	</w:t>
      </w:r>
      <w:r>
        <w:rPr>
          <w:b/>
        </w:rPr>
        <w:t xml:space="preserve">Transfer restrictions. </w:t>
      </w:r>
      <w:r>
        <w:t xml:space="preserve">Rights of first refusal, tag-along rights for the Investor, and drag-along rights on a sale approved by holders of more than 60% of the shares.</w:t>
      </w:r>
    </w:p>
    <w:p>
      <w:pPr>
        <w:spacing w:before="40" w:after="120"/>
        <w:ind w:left="720" w:hanging="720"/>
        <w:jc w:val="both"/>
      </w:pPr>
      <w:r>
        <w:rPr>
          <w:b/>
        </w:rPr>
        <w:t xml:space="preserve">11.	</w:t>
      </w:r>
      <w:r>
        <w:rPr>
          <w:b/>
        </w:rPr>
        <w:t xml:space="preserve">Founder vesting and leaver provisions. </w:t>
      </w:r>
      <w:r>
        <w:t xml:space="preserve">Founder shares subject to customary good/bad leaver provisions, with reverse vesting over the remaining vesting period to be agreed in the Investor Rights Agreement.</w:t>
      </w:r>
    </w:p>
    <w:p>
      <w:pPr>
        <w:spacing w:before="200" w:after="80"/>
        <w:jc w:val="left"/>
      </w:pPr>
      <w:r>
        <w:rPr>
          <w:b/>
        </w:rPr>
        <w:t xml:space="preserve">E. Conditions and process</w:t>
      </w:r>
    </w:p>
    <w:p>
      <w:pPr>
        <w:spacing w:before="40" w:after="120"/>
        <w:ind w:left="720" w:hanging="720"/>
        <w:jc w:val="both"/>
      </w:pPr>
      <w:r>
        <w:rPr>
          <w:b/>
        </w:rPr>
        <w:t xml:space="preserve">12.	</w:t>
      </w:r>
      <w:r>
        <w:rPr>
          <w:b/>
        </w:rPr>
        <w:t xml:space="preserve">Conditions. </w:t>
      </w:r>
      <w:r>
        <w:t xml:space="preserve">Completion is conditional on satisfactory legal, financial and tax due diligence, agreement of the long-form documentation (Subscription Agreement, Investor Rights Agreement and amended Articles), delivery of a disclosure letter, and board and shareholder approvals.</w:t>
      </w:r>
    </w:p>
    <w:p>
      <w:pPr>
        <w:spacing w:before="40" w:after="120"/>
        <w:ind w:left="720" w:hanging="720"/>
        <w:jc w:val="both"/>
      </w:pPr>
      <w:r>
        <w:rPr>
          <w:b/>
        </w:rPr>
        <w:t xml:space="preserve">13.	</w:t>
      </w:r>
      <w:r>
        <w:rPr>
          <w:b/>
        </w:rPr>
        <w:t xml:space="preserve">Warranties. </w:t>
      </w:r>
      <w:r>
        <w:t xml:space="preserve">Customary business and tax warranties from the Company and the Founders, qualified by a disclosure letter, with a tax covenant and agreed limitations on liability.</w:t>
      </w:r>
    </w:p>
    <w:p>
      <w:pPr>
        <w:spacing w:before="200" w:after="80"/>
        <w:jc w:val="left"/>
      </w:pPr>
      <w:r>
        <w:rPr>
          <w:b/>
        </w:rPr>
        <w:t xml:space="preserve">F. Binding terms</w:t>
      </w:r>
    </w:p>
    <w:p>
      <w:pPr>
        <w:spacing w:before="40" w:after="120"/>
        <w:ind w:left="720" w:hanging="720"/>
        <w:jc w:val="both"/>
      </w:pPr>
      <w:r>
        <w:rPr>
          <w:b/>
        </w:rPr>
        <w:t xml:space="preserve">14.	</w:t>
      </w:r>
      <w:r>
        <w:rPr>
          <w:b/>
        </w:rPr>
        <w:t xml:space="preserve">Exclusivity. </w:t>
      </w:r>
      <w:r>
        <w:t xml:space="preserve">The Company agrees to deal exclusively with the Investor in relation to an equity financing for a period of eight (8) weeks from the date of this term sheet (the “Exclusivity Period”), during which it shall not solicit, encourage or enter into discussions with any other prospective investor.</w:t>
      </w:r>
    </w:p>
    <w:p>
      <w:pPr>
        <w:spacing w:before="40" w:after="120"/>
        <w:ind w:left="720" w:hanging="720"/>
        <w:jc w:val="both"/>
      </w:pPr>
      <w:r>
        <w:rPr>
          <w:b/>
        </w:rPr>
        <w:t xml:space="preserve">15.	</w:t>
      </w:r>
      <w:r>
        <w:rPr>
          <w:b/>
        </w:rPr>
        <w:t xml:space="preserve">Costs. </w:t>
      </w:r>
      <w:r>
        <w:t xml:space="preserve">Each party bears its own costs, save that the Company shall, conditional on Completion, reimburse the Investor’s reasonable legal fees up to a cap of £75,000 plus VAT.</w:t>
      </w:r>
    </w:p>
    <w:p>
      <w:pPr>
        <w:spacing w:before="40" w:after="120"/>
        <w:ind w:left="720" w:hanging="720"/>
        <w:jc w:val="both"/>
      </w:pPr>
      <w:r>
        <w:rPr>
          <w:b/>
        </w:rPr>
        <w:t xml:space="preserve">16.	</w:t>
      </w:r>
      <w:r>
        <w:rPr>
          <w:b/>
        </w:rPr>
        <w:t xml:space="preserve">Confidentiality and governing law. </w:t>
      </w:r>
      <w:r>
        <w:t xml:space="preserve">The existence and terms of this term sheet are confidential and subject to the parties’ non-disclosure agreement dated 12 January 2026. This term sheet, and the binding provisions of it, are governed by the law of England and Wales, and the parties submit to the exclusive jurisdiction of the English courts.</w:t>
      </w:r>
    </w:p>
    <w:p>
      <w:pPr>
        <w:spacing w:before="240" w:after="120"/>
        <w:jc w:val="left"/>
      </w:pPr>
      <w:r>
        <w:t xml:space="preserve">Signed for and on behalf of the parties:</w:t>
      </w:r>
    </w:p>
    <w:p>
      <w:pPr>
        <w:spacing w:before="200" w:after="40"/>
        <w:jc w:val="left"/>
      </w:pPr>
      <w:r>
        <w:rPr>
          <w:b/>
        </w:rPr>
        <w:t xml:space="preserve">SIGNED</w:t>
      </w:r>
    </w:p>
    <w:p>
      <w:pPr>
        <w:spacing w:before="40" w:after="200"/>
        <w:jc w:val="left"/>
      </w:pPr>
      <w:r>
        <w:t xml:space="preserve">for and on behalf of </w:t>
      </w:r>
      <w:r>
        <w:rPr>
          <w:b/>
        </w:rPr>
        <w:t xml:space="preserve">CASPIAN TECHNOLOGIES LIMITED</w:t>
      </w:r>
    </w:p>
    <w:p>
      <w:pPr>
        <w:spacing w:before="40" w:after="40"/>
        <w:jc w:val="left"/>
      </w:pPr>
      <w:r>
        <w:t xml:space="preserve">____________________________________</w:t>
      </w:r>
    </w:p>
    <w:p>
      <w:pPr>
        <w:spacing w:before="40" w:after="40"/>
        <w:jc w:val="left"/>
      </w:pPr>
      <w:r>
        <w:t xml:space="preserve">Name: </w:t>
      </w:r>
      <w:r>
        <w:rPr>
          <w:b/>
        </w:rPr>
        <w:t xml:space="preserve">Henry Larsson</w:t>
      </w:r>
    </w:p>
    <w:p>
      <w:pPr>
        <w:spacing w:before="40" w:after="40"/>
        <w:jc w:val="left"/>
      </w:pPr>
      <w:r>
        <w:t xml:space="preserve">Title: Chief Executive Officer</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RAVENSWORTH VENTURES LLP</w:t>
      </w:r>
    </w:p>
    <w:p>
      <w:pPr>
        <w:spacing w:before="40" w:after="40"/>
        <w:jc w:val="left"/>
      </w:pPr>
      <w:r>
        <w:t xml:space="preserve">____________________________________</w:t>
      </w:r>
    </w:p>
    <w:p>
      <w:pPr>
        <w:spacing w:before="40" w:after="40"/>
        <w:jc w:val="left"/>
      </w:pPr>
      <w:r>
        <w:t xml:space="preserve">Name: </w:t>
      </w:r>
      <w:r>
        <w:rPr>
          <w:b/>
        </w:rPr>
        <w:t xml:space="preserve">Victor Underwood</w:t>
      </w:r>
    </w:p>
    <w:p>
      <w:pPr>
        <w:spacing w:before="40" w:after="40"/>
        <w:jc w:val="left"/>
      </w:pPr>
      <w:r>
        <w:t xml:space="preserve">Title: Managing Partner</w:t>
      </w:r>
    </w:p>
    <w:p>
      <w:pPr>
        <w:spacing w:before="40" w:after="200"/>
        <w:jc w:val="left"/>
      </w:pPr>
      <w:r>
        <w:t xml:space="preserve">Date: 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Project Kestrel — Series B Term Sheet — Subject to contract — Strictly private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