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</w:rPr>
        <w:t xml:space="preserve">THE COMPANIES ACT 2006</w:t>
      </w:r>
    </w:p>
    <w:p>
      <w:pPr>
        <w:spacing w:after="60"/>
        <w:jc w:val="center"/>
      </w:pPr>
      <w:r>
        <w:rPr>
          <w:b/>
          <w:bCs/>
        </w:rPr>
        <w:t xml:space="preserve">PRIVATE COMPANY LIMITED BY SHARES</w:t>
      </w:r>
    </w:p>
    <w:p>
      <w:pPr>
        <w:spacing w:after="60" w:before="200"/>
        <w:jc w:val="center"/>
      </w:pPr>
      <w:r>
        <w:rPr>
          <w:b/>
          <w:bCs/>
          <w:sz w:val="28"/>
          <w:szCs w:val="28"/>
        </w:rPr>
        <w:t xml:space="preserve">AMENDED AND RESTATED ARTICLES OF ASSOCIATION</w:t>
      </w:r>
    </w:p>
    <w:p>
      <w:pPr>
        <w:spacing w:after="200"/>
        <w:jc w:val="center"/>
      </w:pPr>
      <w:r>
        <w:rPr>
          <w:sz w:val="20"/>
          <w:szCs w:val="20"/>
        </w:rPr>
        <w:t xml:space="preserve">of CASPIAN TECHNOLOGIES LIMITED (no. 11428637)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Adopted by special resolution passed on 12 June 2026</w:t>
      </w:r>
    </w:p>
    <w:p>
      <w:pPr>
        <w:pStyle w:val="Heading1"/>
      </w:pPr>
      <w:r>
        <w:t xml:space="preserve">PRELIMINARY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model articles for private companies limited by shares prescribed under the Companies Act 2006 do not apply to the Company, and these Articles constitute the Company’s articles of association.</w:t>
      </w:r>
    </w:p>
    <w:p>
      <w:pPr>
        <w:pStyle w:val="Heading1"/>
      </w:pPr>
      <w:r>
        <w:t xml:space="preserve">SHARE CAPITAL AND RIGHTS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share capital of the Company is divided into Ordinary Shares, Series Seed Preferred Shares, Series B Preferred Shares and Series C Preferred Shares, each of £0.0001, carrying the rights and restrictions set out in these Articles.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Series C Shares rank ahead of the Series B Shares, the Series Seed Shares and the Ordinary Shares in respect of the return of capital and the Liquidation Preference.</w:t>
      </w:r>
    </w:p>
    <w:p>
      <w:pPr>
        <w:pStyle w:val="Heading1"/>
      </w:pPr>
      <w:r>
        <w:t xml:space="preserve">LIQUIDATION PREFERENCE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a Return of Capital, the assets of the Company available for distribution shall be applied in the following order of priority: first, to the holders of Series C Shares, an amount equal to the Issue Price for each Series C Share (the “Series C Preference”, being a 1.0x non-participating preference); secondly, to the holders of Series B Shares; thirdly, to the holders of Series Seed Shares; and thereafter, the balance to the holders of Ordinary Shares pro rata.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Series C Preference is non-participating: after payment of the Series C Preference, the holders of Series C Shares shall not participate further unless they elect to convert into Ordinary Shares and take their pro-rata share of the balance.</w:t>
      </w:r>
    </w:p>
    <w:p>
      <w:pPr>
        <w:pStyle w:val="Heading1"/>
      </w:pPr>
      <w:r>
        <w:t xml:space="preserve">CONVERSION AND ANTI-DILUTION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Each Preferred Share converts into Ordinary Shares at the option of the holder, and automatically on a Qualifying IPO, at the then-applicable conversion rate (initially 1:1).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On a Down Round, the conversion rate of the Series C Shares shall be adjusted on a broad-based weighted-average basis, calculated in accordance with the standard formula CP2 = CP1 × (A + B) ÷ (A + C).</w:t>
      </w:r>
    </w:p>
    <w:p>
      <w:pPr>
        <w:pStyle w:val="Heading1"/>
      </w:pPr>
      <w:r>
        <w:t xml:space="preserve">VOTING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Subject to any special rights or restrictions, on a show of hands every member present has one vote, and on a poll every member has one vote for each share held. The Preferred Shares carry the right to vote on an as-converted basis.</w:t>
      </w:r>
    </w:p>
    <w:p>
      <w:pPr>
        <w:pStyle w:val="Heading1"/>
      </w:pPr>
      <w:r>
        <w:t xml:space="preserve">TRANSFER OF SHARES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share may be transferred otherwise than in accordance with the pre-emption, permitted-transfer, drag-along and tag-along provisions in these Articles and the Investors’ Rights Agreement.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Permitted Transfers (which are not subject to pre-emption) include transfers by an Investor to an Affiliate and transfers by a Founder to a family trust approved by the board.</w:t>
      </w:r>
    </w:p>
    <w:p>
      <w:pPr>
        <w:pStyle w:val="Heading1"/>
      </w:pPr>
      <w:r>
        <w:t xml:space="preserve">LEAVER PROVISIONS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If a Founder ceases to be employed or engaged by the Company, his shares shall (depending on whether he is a Good Leaver or a Bad Leaver) be subject to compulsory transfer at Fair Value or the lower of cost and Fair Value respectively, in accordance with the reverse-vesting schedule.</w:t>
      </w:r>
    </w:p>
    <w:p>
      <w:pPr>
        <w:pStyle w:val="Heading1"/>
      </w:pPr>
      <w:r>
        <w:t xml:space="preserve">DIRECTORS AND PROCEEDINGS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number of directors shall not exceed five. The appointment and removal of Investor Directors shall be effected in accordance with the Investors’ Rights Agreement.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Reserved matters requiring Investor consent shall be observed by the board and shall not be approved without the consent required under the Investors’ Rights Agreement.</w:t>
      </w:r>
    </w:p>
    <w:p>
      <w:pPr>
        <w:pStyle w:val="Heading1"/>
      </w:pPr>
      <w:r>
        <w:t xml:space="preserve">GENERAL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The Company may, by special resolution and with the consent of the Series C Majority, alter these Articles. These Articles are governed by English law.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sz w:val="14"/>
        <w:szCs w:val="14"/>
      </w:rPr>
      <w:t xml:space="preserve">Whitfield Carter LLP — Confidential and may be legally privileged.</w:t>
    </w:r>
  </w:p>
  <w:p>
    <w:pPr>
      <w:jc w:val="center"/>
    </w:pP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sz w:val="14"/>
        <w:szCs w:val="14"/>
      </w:rPr>
      <w:t xml:space="preserve"> of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600"/>
      </w:pPr>
      <w:rPr>
        <w:b/>
        <w:bCs/>
      </w:rPr>
    </w:lvl>
    <w:lvl w:ilvl="1" w15:tentative="1">
      <w:start w:val="1"/>
      <w:numFmt w:val="decimal"/>
      <w:lvlText w:val="%1.%2"/>
      <w:lvlJc w:val="left"/>
      <w:pPr>
        <w:ind w:left="1100" w:hanging="500"/>
      </w:pPr>
    </w:lvl>
    <w:lvl w:ilvl="2" w15:tentative="1">
      <w:start w:val="1"/>
      <w:numFmt w:val="lowerLetter"/>
      <w:lvlText w:val="(%3)"/>
      <w:lvlJc w:val="left"/>
      <w:pPr>
        <w:ind w:left="1600" w:hanging="5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2026-06-20T20:09:21.199Z</dcterms:created>
  <dcterms:modified xsi:type="dcterms:W3CDTF">2026-06-20T20:09:21.199Z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