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12 June 2026</w:t>
      </w:r>
    </w:p>
    <w:p>
      <w:pPr>
        <w:spacing w:after="120"/>
      </w:pPr>
      <w:r>
        <w:t xml:space="preserve">To: The Investors named in the Series C Subscription and Shareholders’ Agreement</w:t>
      </w:r>
    </w:p>
    <w:p>
      <w:pPr>
        <w:spacing w:after="120"/>
      </w:pPr>
      <w:r>
        <w:t xml:space="preserve">c/o Hargrove &amp; Associates LLP, on behalf of Marisdale Growth Partners LLP</w:t>
      </w:r>
    </w:p>
    <w:p>
      <w:pPr>
        <w:spacing w:after="160" w:before="120"/>
      </w:pPr>
      <w:r>
        <w:rPr>
          <w:b/>
          <w:bCs/>
        </w:rPr>
        <w:t xml:space="preserve">Dear Sirs</w:t>
      </w:r>
    </w:p>
    <w:p>
      <w:pPr>
        <w:spacing w:after="160"/>
      </w:pPr>
      <w:r>
        <w:rPr>
          <w:b/>
          <w:bCs/>
        </w:rPr>
        <w:t xml:space="preserve">DISCLOSURE LETTER — CASPIAN TECHNOLOGIES LIMITED — SERIES C</w:t>
      </w:r>
    </w:p>
    <w:p>
      <w:pPr>
        <w:spacing w:after="120"/>
      </w:pPr>
      <w:r>
        <w:t xml:space="preserve">This is the Disclosure Letter referred to in the Series C Subscription and Shareholders’ Agreement of even date (the “Agreement”). Terms defined in the Agreement have the same meaning here. This letter qualifies the Warranties set out in Schedule 4 of the Agreement.</w:t>
      </w:r>
    </w:p>
    <w:p>
      <w:pPr>
        <w:pStyle w:val="Heading2"/>
      </w:pPr>
      <w:r>
        <w:t xml:space="preserve">1.  General Disclosures</w:t>
      </w:r>
    </w:p>
    <w:p>
      <w:pPr>
        <w:spacing w:after="120"/>
      </w:pPr>
      <w:r>
        <w:t xml:space="preserve">The Warranties are qualified by, and the Investors are deemed to have knowledge of: (a) all matters provided for or referred to in the Agreement and the Articles; (b) all matters apparent from the documents in the due-diligence data room hosted on the Caspian DataRoom platform, an index of which is annexed; (c) all matters which would be revealed by a search at Companies House and the UK Intellectual Property Office against the Company on the Business Day before the date of this letter; and (d) all matters disclosed in the audited accounts for the year ended 31 December 2025.</w:t>
      </w:r>
    </w:p>
    <w:p>
      <w:pPr>
        <w:pStyle w:val="Heading2"/>
      </w:pPr>
      <w:r>
        <w:t xml:space="preserve">2.  Specific Disclosures</w:t>
      </w:r>
    </w:p>
    <w:p>
      <w:pPr>
        <w:spacing w:after="120"/>
      </w:pPr>
      <w:r>
        <w:t xml:space="preserve">The following specific matters are disclosed against the numbered Warranties in Schedule 4: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Warranty 4.1 (Intellectual Property): the Company licenses certain third-party geospatial datasets from Orbital Data Inc. under a renewable annual licence expiring 31 October 2026; renewal is in negotiation and is not expected to be on materially worse terms. Document at data-room ref. 4.2.7.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Warranty 4.2 (Data Protection): the Company received a routine query from a customer’s data-protection officer in March 2026 regarding sub-processor disclosures; this was resolved without complaint to the ICO. Correspondence at ref. 4.3.1.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Warranty 5.1 (Customers): one mid-tier customer (representing approximately 4% of ARR) served notice of non-renewal in February 2026 for budgetary reasons unrelated to the platform. See ref. 5.1.2.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Warranty 6.1 (Employees): the Company is in consultation regarding the proposed promotion and revised package of its VP Commercial; heads of terms are at ref. 6.4.3.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Warranty 7.1 (Litigation): a former contractor has intimated, but not issued, a claim for unpaid invoices of £18,400, which the Company disputes. See ref. 7.1.1.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Warranty 8.1 (Tax): the Company has an outstanding R&amp;D tax-credit claim for the year ended 31 December 2025 currently under routine HMRC review; no adjustment is anticipated. See ref. 8.2.4.</w:t>
      </w:r>
    </w:p>
    <w:p>
      <w:pPr>
        <w:pStyle w:val="Heading2"/>
      </w:pPr>
      <w:r>
        <w:t xml:space="preserve">3.  Annexes</w:t>
      </w:r>
    </w:p>
    <w:p>
      <w:pPr>
        <w:spacing w:after="120"/>
      </w:pPr>
      <w:r>
        <w:t xml:space="preserve">Annex 1 — Data-room index (separately bound). Annex 2 — Companies House and IPO search results dated 11 June 2026.</w:t>
      </w:r>
    </w:p>
    <w:p>
      <w:pPr>
        <w:spacing w:before="200"/>
      </w:pPr>
      <w:r>
        <w:t xml:space="preserve">Yours faithfully</w:t>
      </w:r>
    </w:p>
    <w:p>
      <w:pPr>
        <w:spacing w:after="120"/>
      </w:pPr>
      <w:r>
        <w:t xml:space="preserve">__________________________________</w:t>
      </w:r>
    </w:p>
    <w:p>
      <w:pPr>
        <w:spacing w:after="120"/>
      </w:pPr>
      <w:r>
        <w:t xml:space="preserve">For and on behalf of Caspian Technologies Limited</w:t>
      </w:r>
    </w:p>
    <w:p>
      <w:pPr>
        <w:spacing w:after="120"/>
      </w:pPr>
      <w:r>
        <w:t xml:space="preserve">(also signed by Henry Larsson and Theo Eriksson as Warrantors)</w:t>
      </w:r>
    </w:p>
    <w:p>
      <w:pPr>
        <w:spacing w:before="200"/>
      </w:pPr>
      <w:r>
        <w:rPr>
          <w:i/>
          <w:iCs/>
        </w:rPr>
        <w:t xml:space="preserve">Acknowledged and received without prejudice to the Investors’ rights:</w:t>
      </w:r>
    </w:p>
    <w:p>
      <w:pPr>
        <w:spacing w:after="120"/>
      </w:pPr>
      <w:r>
        <w:t xml:space="preserve">__________________________________  For and on behalf of the Investors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4"/>
        <w:szCs w:val="14"/>
      </w:rPr>
      <w:t xml:space="preserve">Whitfield Carter LLP — Confidential and may be legally privileged.</w:t>
    </w:r>
  </w:p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sz w:val="14"/>
        <w:szCs w:val="14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sz w:val="26"/>
        <w:szCs w:val="26"/>
      </w:rPr>
      <w:t xml:space="preserve">WHITFIELD CARTER LLP</w:t>
    </w:r>
  </w:p>
  <w:p>
    <w:pPr>
      <w:spacing w:after="0"/>
      <w:jc w:val="right"/>
    </w:pPr>
    <w:r>
      <w:rPr>
        <w:sz w:val="16"/>
        <w:szCs w:val="16"/>
      </w:rPr>
      <w:t xml:space="preserve">22 Bishopsgate, London EC2N 4BQ</w:t>
    </w:r>
  </w:p>
  <w:p>
    <w:pPr>
      <w:pBdr>
        <w:bottom w:val="single" w:color="1F3864" w:sz="6" w:space="4"/>
      </w:pBdr>
      <w:spacing w:after="120"/>
      <w:jc w:val="right"/>
    </w:pPr>
    <w:r>
      <w:rPr>
        <w:sz w:val="16"/>
        <w:szCs w:val="16"/>
      </w:rPr>
      <w:t xml:space="preserve">www.whitfieldcarter.com  |  +44 (0)20 7946 0500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  <w:rPr>
        <w:b/>
        <w:bCs/>
      </w:rPr>
    </w:lvl>
    <w:lvl w:ilvl="1" w15:tentative="1">
      <w:start w:val="1"/>
      <w:numFmt w:val="decimal"/>
      <w:lvlText w:val="%1.%2"/>
      <w:lvlJc w:val="left"/>
      <w:pPr>
        <w:ind w:left="1100" w:hanging="5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2026-06-20T20:09:21.214Z</dcterms:created>
  <dcterms:modified xsi:type="dcterms:W3CDTF">2026-06-20T20:09:21.214Z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