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0"/>
          <w:szCs w:val="20"/>
        </w:rPr>
        <w:t xml:space="preserve">DATED 12 JUNE 2026</w:t>
      </w:r>
    </w:p>
    <w:p>
      <w:pPr>
        <w:spacing w:after="60" w:before="200"/>
        <w:jc w:val="center"/>
      </w:pPr>
      <w:r>
        <w:rPr>
          <w:b/>
          <w:bCs/>
          <w:sz w:val="28"/>
          <w:szCs w:val="28"/>
        </w:rPr>
        <w:t xml:space="preserve">INVESTORS’ RIGHTS AGREEMENT</w:t>
      </w:r>
    </w:p>
    <w:p>
      <w:pPr>
        <w:spacing w:after="200"/>
        <w:jc w:val="center"/>
      </w:pPr>
      <w:r>
        <w:rPr>
          <w:sz w:val="20"/>
          <w:szCs w:val="20"/>
        </w:rPr>
        <w:t xml:space="preserve">relating to Caspian Technologies Limited (no. 11428637)</w:t>
      </w:r>
    </w:p>
    <w:p>
      <w:pPr>
        <w:pStyle w:val="Heading1"/>
      </w:pPr>
      <w:r>
        <w:t xml:space="preserve">PARTIES</w:t>
      </w:r>
    </w:p>
    <w:p>
      <w:pPr>
        <w:pStyle w:val="ListParagraph"/>
        <w:numPr>
          <w:ilvl w:val="0"/>
          <w:numId w:val="2"/>
        </w:numPr>
        <w:spacing w:after="100"/>
      </w:pPr>
      <w:r>
        <w:t xml:space="preserve">CASPIAN TECHNOLOGIES LIMITED (the “Company”);</w:t>
      </w:r>
    </w:p>
    <w:p>
      <w:pPr>
        <w:pStyle w:val="ListParagraph"/>
        <w:numPr>
          <w:ilvl w:val="0"/>
          <w:numId w:val="2"/>
        </w:numPr>
        <w:spacing w:after="100"/>
      </w:pPr>
      <w:r>
        <w:t xml:space="preserve">THE FOUNDERS listed in Schedule 1; and</w:t>
      </w:r>
    </w:p>
    <w:p>
      <w:pPr>
        <w:pStyle w:val="ListParagraph"/>
        <w:numPr>
          <w:ilvl w:val="0"/>
          <w:numId w:val="2"/>
        </w:numPr>
        <w:spacing w:after="100"/>
      </w:pPr>
      <w:r>
        <w:t xml:space="preserve">THE INVESTORS listed in Schedule 2 (together the “Investors”).</w:t>
      </w:r>
    </w:p>
    <w:p>
      <w:pPr>
        <w:pStyle w:val="Heading1"/>
      </w:pPr>
      <w:r>
        <w:t xml:space="preserve">INFORMATION RIGHTS</w:t>
      </w:r>
    </w:p>
    <w:p>
      <w:pPr>
        <w:pStyle w:val="ListParagraph"/>
        <w:numPr>
          <w:ilvl w:val="0"/>
          <w:numId w:val="2"/>
        </w:numPr>
        <w:spacing w:after="100"/>
      </w:pPr>
      <w:r>
        <w:t xml:space="preserve">The Company shall deliver to each Investor holding not less than 3% of the issued share capital: (a) unaudited monthly management accounts within 20 Business Days of each month end; (b) audited annual accounts within four months of the financial year end; and (c) an annual board-approved budget not less than 30 days before the start of each financial year.</w:t>
      </w:r>
    </w:p>
    <w:p>
      <w:pPr>
        <w:pStyle w:val="ListParagraph"/>
        <w:numPr>
          <w:ilvl w:val="0"/>
          <w:numId w:val="2"/>
        </w:numPr>
        <w:spacing w:after="100"/>
      </w:pPr>
      <w:r>
        <w:t xml:space="preserve">Each such Investor shall be entitled, on reasonable notice and during normal business hours, to inspect the books and records of the Company and to discuss its affairs with the directors and senior management.</w:t>
      </w:r>
    </w:p>
    <w:p>
      <w:pPr>
        <w:pStyle w:val="Heading1"/>
      </w:pPr>
      <w:r>
        <w:t xml:space="preserve">BOARD COMPOSITION AND OBSERVER RIGHTS</w:t>
      </w:r>
    </w:p>
    <w:p>
      <w:pPr>
        <w:pStyle w:val="ListParagraph"/>
        <w:numPr>
          <w:ilvl w:val="0"/>
          <w:numId w:val="2"/>
        </w:numPr>
        <w:spacing w:after="100"/>
      </w:pPr>
      <w:r>
        <w:t xml:space="preserve">The board shall comprise no more than five directors: two Founder Directors, the Series B Investor Director (nominated by Ravensworth Ventures LLP), the Series C Investor Director (nominated by the Lead Investor), and one independent Non-Executive Director to be appointed by agreement between the board and the Series C Majority.</w:t>
      </w:r>
    </w:p>
    <w:p>
      <w:pPr>
        <w:pStyle w:val="ListParagraph"/>
        <w:numPr>
          <w:ilvl w:val="0"/>
          <w:numId w:val="2"/>
        </w:numPr>
        <w:spacing w:after="100"/>
      </w:pPr>
      <w:r>
        <w:t xml:space="preserve">The Lead Investor shall, in addition, be entitled to appoint one board observer who may attend (but not vote at) meetings of the board and receive all board papers.</w:t>
      </w:r>
    </w:p>
    <w:p>
      <w:pPr>
        <w:pStyle w:val="ListParagraph"/>
        <w:numPr>
          <w:ilvl w:val="0"/>
          <w:numId w:val="2"/>
        </w:numPr>
        <w:spacing w:after="100"/>
      </w:pPr>
      <w:r>
        <w:t xml:space="preserve">The quorum for board meetings shall include at least one Investor Director, save where a meeting is adjourned for want of quorum and reconvened on not less than two Business Days’ notice.</w:t>
      </w:r>
    </w:p>
    <w:p>
      <w:pPr>
        <w:pStyle w:val="Heading1"/>
      </w:pPr>
      <w:r>
        <w:t xml:space="preserve">RESERVED MATTERS</w:t>
      </w:r>
    </w:p>
    <w:p>
      <w:pPr>
        <w:spacing w:after="120"/>
      </w:pPr>
      <w:r>
        <w:t xml:space="preserve">The Company shall not, and the Founders shall procure that no Group Company shall, without the prior written consent of the Series C Majority (and, where indicated, the Series B Director):</w:t>
      </w:r>
    </w:p>
    <w:p>
      <w:pPr>
        <w:pStyle w:val="ListParagraph"/>
        <w:numPr>
          <w:ilvl w:val="0"/>
          <w:numId w:val="2"/>
        </w:numPr>
        <w:spacing w:after="100"/>
      </w:pPr>
      <w:r>
        <w:t xml:space="preserve">alter its share capital or the rights attaching to any class of shares, or adopt or amend the Articles;</w:t>
      </w:r>
    </w:p>
    <w:p>
      <w:pPr>
        <w:pStyle w:val="ListParagraph"/>
        <w:numPr>
          <w:ilvl w:val="0"/>
          <w:numId w:val="2"/>
        </w:numPr>
        <w:spacing w:after="100"/>
      </w:pPr>
      <w:r>
        <w:t xml:space="preserve">create, allot or issue any shares or securities, or grant any option over its shares, save under the agreed EMI option pool;</w:t>
      </w:r>
    </w:p>
    <w:p>
      <w:pPr>
        <w:pStyle w:val="ListParagraph"/>
        <w:numPr>
          <w:ilvl w:val="0"/>
          <w:numId w:val="2"/>
        </w:numPr>
        <w:spacing w:after="100"/>
      </w:pPr>
      <w:r>
        <w:t xml:space="preserve">borrow any sum (other than ordinary trade credit) exceeding £1,000,000 in aggregate, or create any Encumbrance over its assets;</w:t>
      </w:r>
    </w:p>
    <w:p>
      <w:pPr>
        <w:pStyle w:val="ListParagraph"/>
        <w:numPr>
          <w:ilvl w:val="0"/>
          <w:numId w:val="2"/>
        </w:numPr>
        <w:spacing w:after="100"/>
      </w:pPr>
      <w:r>
        <w:t xml:space="preserve">acquire or dispose of any business or material asset, or enter into any merger, joint venture or partnership;</w:t>
      </w:r>
    </w:p>
    <w:p>
      <w:pPr>
        <w:pStyle w:val="ListParagraph"/>
        <w:numPr>
          <w:ilvl w:val="0"/>
          <w:numId w:val="2"/>
        </w:numPr>
        <w:spacing w:after="100"/>
      </w:pPr>
      <w:r>
        <w:t xml:space="preserve">approve or materially amend the annual budget, or incur capital expenditure more than 10% in excess of the approved budget;</w:t>
      </w:r>
    </w:p>
    <w:p>
      <w:pPr>
        <w:pStyle w:val="ListParagraph"/>
        <w:numPr>
          <w:ilvl w:val="0"/>
          <w:numId w:val="2"/>
        </w:numPr>
        <w:spacing w:after="100"/>
      </w:pPr>
      <w:r>
        <w:t xml:space="preserve">enter into any contract with, or for the benefit of, a Founder or any connected person, otherwise than on arm’s-length terms;</w:t>
      </w:r>
    </w:p>
    <w:p>
      <w:pPr>
        <w:pStyle w:val="ListParagraph"/>
        <w:numPr>
          <w:ilvl w:val="0"/>
          <w:numId w:val="2"/>
        </w:numPr>
        <w:spacing w:after="100"/>
      </w:pPr>
      <w:r>
        <w:t xml:space="preserve">appoint or remove the chief executive, chief financial officer or chief technology officer, or materially vary their terms; or</w:t>
      </w:r>
    </w:p>
    <w:p>
      <w:pPr>
        <w:pStyle w:val="ListParagraph"/>
        <w:numPr>
          <w:ilvl w:val="0"/>
          <w:numId w:val="2"/>
        </w:numPr>
        <w:spacing w:after="100"/>
      </w:pPr>
      <w:r>
        <w:t xml:space="preserve">commence any winding-up, administration or other insolvency process, or declare any dividend.</w:t>
      </w:r>
    </w:p>
    <w:p>
      <w:pPr>
        <w:pStyle w:val="Heading1"/>
      </w:pPr>
      <w:r>
        <w:t xml:space="preserve">PRE-EMPTION ON NEW ISSUES</w:t>
      </w:r>
    </w:p>
    <w:p>
      <w:pPr>
        <w:pStyle w:val="ListParagraph"/>
        <w:numPr>
          <w:ilvl w:val="0"/>
          <w:numId w:val="2"/>
        </w:numPr>
        <w:spacing w:after="100"/>
      </w:pPr>
      <w:r>
        <w:t xml:space="preserve">Save in respect of Permitted Issues (including issues under the EMI pool), new shares shall first be offered to existing shareholders pro rata to their holdings, on the same terms, with a subscription period of not less than 14 days.</w:t>
      </w:r>
    </w:p>
    <w:p>
      <w:pPr>
        <w:pStyle w:val="Heading1"/>
      </w:pPr>
      <w:r>
        <w:t xml:space="preserve">ANTI-DILUTION</w:t>
      </w:r>
    </w:p>
    <w:p>
      <w:pPr>
        <w:pStyle w:val="ListParagraph"/>
        <w:numPr>
          <w:ilvl w:val="0"/>
          <w:numId w:val="2"/>
        </w:numPr>
        <w:spacing w:after="100"/>
      </w:pPr>
      <w:r>
        <w:t xml:space="preserve">If the Company issues shares at a price per share lower than the Issue Price (a “Down Round”), the conversion price of the Series C Shares shall be adjusted on a broad-based weighted-average basis in accordance with the formula in the Articles.</w:t>
      </w:r>
    </w:p>
    <w:p>
      <w:pPr>
        <w:pStyle w:val="Heading1"/>
      </w:pPr>
      <w:r>
        <w:t xml:space="preserve">FOUNDER UNDERTAKINGS</w:t>
      </w:r>
    </w:p>
    <w:p>
      <w:pPr>
        <w:pStyle w:val="ListParagraph"/>
        <w:numPr>
          <w:ilvl w:val="0"/>
          <w:numId w:val="2"/>
        </w:numPr>
        <w:spacing w:after="100"/>
      </w:pPr>
      <w:r>
        <w:t xml:space="preserve">Each Founder shall devote substantially the whole of his working time and attention to the Business, shall not be engaged in any competing business, and shall comply with the leaver and reverse-vesting provisions in the Articles.</w:t>
      </w:r>
    </w:p>
    <w:p>
      <w:pPr>
        <w:pStyle w:val="Heading1"/>
      </w:pPr>
      <w:r>
        <w:t xml:space="preserve">DRAG AND TAG ALONG</w:t>
      </w:r>
    </w:p>
    <w:p>
      <w:pPr>
        <w:pStyle w:val="ListParagraph"/>
        <w:numPr>
          <w:ilvl w:val="0"/>
          <w:numId w:val="2"/>
        </w:numPr>
        <w:spacing w:after="100"/>
      </w:pPr>
      <w:r>
        <w:t xml:space="preserve">If holders of 75% or more of the Ordinary Shares (together with the Series C Majority) accept a bona fide arm’s-length offer for the entire issued share capital, the remaining shareholders shall be bound to sell on the same terms (drag along).</w:t>
      </w:r>
    </w:p>
    <w:p>
      <w:pPr>
        <w:pStyle w:val="ListParagraph"/>
        <w:numPr>
          <w:ilvl w:val="0"/>
          <w:numId w:val="2"/>
        </w:numPr>
        <w:spacing w:after="100"/>
      </w:pPr>
      <w:r>
        <w:t xml:space="preserve">No shareholder shall transfer shares to a third-party purchaser unless that purchaser offers to acquire a proportionate number of each other shareholder’s shares on the same terms (tag along).</w:t>
      </w:r>
    </w:p>
    <w:p>
      <w:pPr>
        <w:pStyle w:val="Heading1"/>
      </w:pPr>
      <w:r>
        <w:t xml:space="preserve">DURATION AND GENERAL</w:t>
      </w:r>
    </w:p>
    <w:p>
      <w:pPr>
        <w:pStyle w:val="ListParagraph"/>
        <w:numPr>
          <w:ilvl w:val="0"/>
          <w:numId w:val="2"/>
        </w:numPr>
        <w:spacing w:after="100"/>
      </w:pPr>
      <w:r>
        <w:t xml:space="preserve">This Agreement continues in force until the earlier of (a) an IPO of the Company and (b) the date on which the Investors cease to hold any shares, save that the confidentiality provisions survive.</w:t>
      </w:r>
    </w:p>
    <w:p>
      <w:pPr>
        <w:pStyle w:val="ListParagraph"/>
        <w:numPr>
          <w:ilvl w:val="0"/>
          <w:numId w:val="2"/>
        </w:numPr>
        <w:spacing w:after="100"/>
      </w:pPr>
      <w:r>
        <w:t xml:space="preserve">This Agreement is governed by English law and the parties submit to the exclusive jurisdiction of the courts of England and Wales. It may be executed in counterparts.</w:t>
      </w:r>
    </w:p>
    <w:p>
      <w:pPr>
        <w:spacing w:before="240"/>
      </w:pPr>
      <w:r>
        <w:rPr>
          <w:b/>
          <w:bCs/>
        </w:rPr>
        <w:t xml:space="preserve">EXECUTED by the parties on the date first stated above.</w:t>
      </w:r>
    </w:p>
    <w:p>
      <w:pPr>
        <w:spacing w:after="120"/>
      </w:pPr>
      <w:r>
        <w:t xml:space="preserve">Caspian Technologies Limited  —  Director: ______________________</w:t>
      </w:r>
    </w:p>
    <w:p>
      <w:pPr>
        <w:spacing w:after="120"/>
      </w:pPr>
      <w:r>
        <w:t xml:space="preserve">Marisdale Growth Partners LLP  —  Authorised signatory: ______________________</w:t>
      </w:r>
    </w:p>
    <w:p>
      <w:pPr>
        <w:spacing w:after="120"/>
      </w:pPr>
      <w:r>
        <w:t xml:space="preserve">Ravensworth Ventures LLP  —  Authorised signatory: ______________________</w:t>
      </w:r>
    </w:p>
    <w:p>
      <w:pPr>
        <w:spacing w:after="120"/>
      </w:pPr>
      <w:r>
        <w:t xml:space="preserve">The Founders  —  Henry Larsson: ____________   Theo Eriksson: ____________</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4"/>
        <w:szCs w:val="14"/>
      </w:rPr>
      <w:t xml:space="preserve">Whitfield Carter LLP — Confidential and may be legally privileged.</w:t>
    </w:r>
  </w:p>
  <w:p>
    <w:pPr>
      <w:jc w:val="center"/>
    </w:pPr>
    <w:r>
      <w:rPr>
        <w:sz w:val="14"/>
        <w:szCs w:val="14"/>
      </w:rPr>
      <w:t xml:space="preserve">Page </w:t>
    </w:r>
    <w:r>
      <w:rPr>
        <w:sz w:val="14"/>
        <w:szCs w:val="14"/>
      </w:rPr>
      <w:fldChar w:fldCharType="begin"/>
      <w:instrText xml:space="preserve">PAGE</w:instrText>
      <w:fldChar w:fldCharType="separate"/>
      <w:fldChar w:fldCharType="end"/>
    </w:r>
    <w:r>
      <w:rPr>
        <w:sz w:val="14"/>
        <w:szCs w:val="14"/>
      </w:rPr>
      <w:t xml:space="preserve"> of </w:t>
    </w:r>
    <w:r>
      <w:rPr>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rPr>
        <w:b/>
        <w:bCs/>
      </w:rPr>
    </w:lvl>
    <w:lvl w:ilvl="1" w15:tentative="1">
      <w:start w:val="1"/>
      <w:numFmt w:val="decimal"/>
      <w:lvlText w:val="%1.%2"/>
      <w:lvlJc w:val="left"/>
      <w:pPr>
        <w:ind w:left="1100" w:hanging="500"/>
      </w:pPr>
    </w:lvl>
    <w:lvl w:ilvl="2" w15:tentative="1">
      <w:start w:val="1"/>
      <w:numFmt w:val="lowerLetter"/>
      <w:lvlText w:val="(%3)"/>
      <w:lvlJc w:val="left"/>
      <w:pPr>
        <w:ind w:left="1600" w:hanging="5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2026-06-20T20:09:21.187Z</dcterms:created>
  <dcterms:modified xsi:type="dcterms:W3CDTF">2026-06-20T20:09:21.187Z</dcterms:modified>
</cp:coreProperties>
</file>

<file path=docProps/custom.xml><?xml version="1.0" encoding="utf-8"?>
<Properties xmlns="http://schemas.openxmlformats.org/officeDocument/2006/custom-properties" xmlns:vt="http://schemas.openxmlformats.org/officeDocument/2006/docPropsVTypes"/>
</file>