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0"/>
          <w:szCs w:val="30"/>
        </w:rPr>
        <w:t xml:space="preserve">PROJECT LYRA</w:t>
      </w:r>
    </w:p>
    <w:p>
      <w:pPr>
        <w:spacing w:after="60"/>
        <w:jc w:val="center"/>
      </w:pPr>
      <w:r>
        <w:rPr>
          <w:b/>
          <w:bCs/>
          <w:sz w:val="24"/>
          <w:szCs w:val="24"/>
        </w:rPr>
        <w:t xml:space="preserve">Caspian Technologies Limited — Series C Preferred Share Financing</w:t>
      </w:r>
    </w:p>
    <w:p>
      <w:pPr>
        <w:spacing w:after="200"/>
        <w:jc w:val="center"/>
      </w:pPr>
      <w:r>
        <w:rPr>
          <w:sz w:val="20"/>
          <w:szCs w:val="20"/>
        </w:rPr>
        <w:t xml:space="preserve">Summary of Principal Terms and Conditions  |  Dated 17 April 2026</w:t>
      </w:r>
    </w:p>
    <w:p>
      <w:pPr>
        <w:spacing w:after="120"/>
      </w:pPr>
      <w:r>
        <w:rPr>
          <w:i/>
          <w:iCs/>
        </w:rPr>
        <w:t xml:space="preserve">This term sheet (the “Term Sheet”) summarises the principal terms of a proposed Series C investment in Caspian Technologies Limited (the “Company”, Companies House no. 11428637). Save for the paragraphs headed Exclusivity, Costs, Confidentiality and Governing Law (which are binding), this Term Sheet is not legally binding and is subject to contract, satisfactory due diligence and final documentation.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999999" w:sz="1"/>
              <w:left w:val="single" w:color="999999" w:sz="1"/>
              <w:bottom w:val="single" w:color="999999" w:sz="1"/>
              <w:right w:val="single" w:color="999999" w:sz="1"/>
            </w:tcBorders>
            <w:shd w:fill="EAF1F8" w:val="clear"/>
            <w:tcMar>
              <w:top w:type="dxa" w:w="60"/>
              <w:left w:type="dxa" w:w="100"/>
              <w:bottom w:type="dxa" w:w="60"/>
              <w:right w:type="dxa" w:w="100"/>
            </w:tcMar>
          </w:tcPr>
          <w:p>
            <w:r>
              <w:rPr>
                <w:b/>
                <w:bCs/>
                <w:sz w:val="20"/>
                <w:szCs w:val="20"/>
              </w:rPr>
              <w:t xml:space="preserve">Company</w:t>
            </w:r>
          </w:p>
        </w:tc>
        <w:tc>
          <w:tcPr>
            <w:tcW w:type="dxa" w:w="58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sz w:val="20"/>
                <w:szCs w:val="20"/>
              </w:rPr>
              <w:t xml:space="preserve">Caspian Technologies Limited, a private company limited by shares incorporated in England and Wales (no. 11428637), registered office 8 Finsbury Circus, London EC2M 7EA.</w:t>
            </w:r>
          </w:p>
        </w:tc>
      </w:tr>
      <w:tr>
        <w:tc>
          <w:tcPr>
            <w:tcW w:type="dxa" w:w="3200"/>
            <w:tcBorders>
              <w:top w:val="single" w:color="999999" w:sz="1"/>
              <w:left w:val="single" w:color="999999" w:sz="1"/>
              <w:bottom w:val="single" w:color="999999" w:sz="1"/>
              <w:right w:val="single" w:color="999999" w:sz="1"/>
            </w:tcBorders>
            <w:shd w:fill="EAF1F8" w:val="clear"/>
            <w:tcMar>
              <w:top w:type="dxa" w:w="60"/>
              <w:left w:type="dxa" w:w="100"/>
              <w:bottom w:type="dxa" w:w="60"/>
              <w:right w:type="dxa" w:w="100"/>
            </w:tcMar>
          </w:tcPr>
          <w:p>
            <w:r>
              <w:rPr>
                <w:b/>
                <w:bCs/>
                <w:sz w:val="20"/>
                <w:szCs w:val="20"/>
              </w:rPr>
              <w:t xml:space="preserve">Lead Investor</w:t>
            </w:r>
          </w:p>
        </w:tc>
        <w:tc>
          <w:tcPr>
            <w:tcW w:type="dxa" w:w="58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sz w:val="20"/>
                <w:szCs w:val="20"/>
              </w:rPr>
              <w:t xml:space="preserve">Marisdale Growth Partners LLP (“Marisdale” or the “Lead Investor”), on behalf of Marisdale Growth Fund III LP.</w:t>
            </w:r>
          </w:p>
        </w:tc>
      </w:tr>
      <w:tr>
        <w:tc>
          <w:tcPr>
            <w:tcW w:type="dxa" w:w="3200"/>
            <w:tcBorders>
              <w:top w:val="single" w:color="999999" w:sz="1"/>
              <w:left w:val="single" w:color="999999" w:sz="1"/>
              <w:bottom w:val="single" w:color="999999" w:sz="1"/>
              <w:right w:val="single" w:color="999999" w:sz="1"/>
            </w:tcBorders>
            <w:shd w:fill="EAF1F8" w:val="clear"/>
            <w:tcMar>
              <w:top w:type="dxa" w:w="60"/>
              <w:left w:type="dxa" w:w="100"/>
              <w:bottom w:type="dxa" w:w="60"/>
              <w:right w:type="dxa" w:w="100"/>
            </w:tcMar>
          </w:tcPr>
          <w:p>
            <w:r>
              <w:rPr>
                <w:b/>
                <w:bCs/>
                <w:sz w:val="20"/>
                <w:szCs w:val="20"/>
              </w:rPr>
              <w:t xml:space="preserve">Existing Investors</w:t>
            </w:r>
          </w:p>
        </w:tc>
        <w:tc>
          <w:tcPr>
            <w:tcW w:type="dxa" w:w="58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sz w:val="20"/>
                <w:szCs w:val="20"/>
              </w:rPr>
              <w:t xml:space="preserve">Ravensworth Ventures LLP (Series B) and Aldridge Seed LP (Series Seed), each of whom may elect to participate pro rata.</w:t>
            </w:r>
          </w:p>
        </w:tc>
      </w:tr>
      <w:tr>
        <w:tc>
          <w:tcPr>
            <w:tcW w:type="dxa" w:w="3200"/>
            <w:tcBorders>
              <w:top w:val="single" w:color="999999" w:sz="1"/>
              <w:left w:val="single" w:color="999999" w:sz="1"/>
              <w:bottom w:val="single" w:color="999999" w:sz="1"/>
              <w:right w:val="single" w:color="999999" w:sz="1"/>
            </w:tcBorders>
            <w:shd w:fill="EAF1F8" w:val="clear"/>
            <w:tcMar>
              <w:top w:type="dxa" w:w="60"/>
              <w:left w:type="dxa" w:w="100"/>
              <w:bottom w:type="dxa" w:w="60"/>
              <w:right w:type="dxa" w:w="100"/>
            </w:tcMar>
          </w:tcPr>
          <w:p>
            <w:r>
              <w:rPr>
                <w:b/>
                <w:bCs/>
                <w:sz w:val="20"/>
                <w:szCs w:val="20"/>
              </w:rPr>
              <w:t xml:space="preserve">Round / Instrument</w:t>
            </w:r>
          </w:p>
        </w:tc>
        <w:tc>
          <w:tcPr>
            <w:tcW w:type="dxa" w:w="58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sz w:val="20"/>
                <w:szCs w:val="20"/>
              </w:rPr>
              <w:t xml:space="preserve">Series C Preferred Shares of £0.0001 each (“Series C Shares”), ranking ahead of Series B, Series Seed and Ordinary Shares.</w:t>
            </w:r>
          </w:p>
        </w:tc>
      </w:tr>
      <w:tr>
        <w:tc>
          <w:tcPr>
            <w:tcW w:type="dxa" w:w="3200"/>
            <w:tcBorders>
              <w:top w:val="single" w:color="999999" w:sz="1"/>
              <w:left w:val="single" w:color="999999" w:sz="1"/>
              <w:bottom w:val="single" w:color="999999" w:sz="1"/>
              <w:right w:val="single" w:color="999999" w:sz="1"/>
            </w:tcBorders>
            <w:shd w:fill="EAF1F8" w:val="clear"/>
            <w:tcMar>
              <w:top w:type="dxa" w:w="60"/>
              <w:left w:type="dxa" w:w="100"/>
              <w:bottom w:type="dxa" w:w="60"/>
              <w:right w:type="dxa" w:w="100"/>
            </w:tcMar>
          </w:tcPr>
          <w:p>
            <w:r>
              <w:rPr>
                <w:b/>
                <w:bCs/>
                <w:sz w:val="20"/>
                <w:szCs w:val="20"/>
              </w:rPr>
              <w:t xml:space="preserve">Pre-Money Valuation</w:t>
            </w:r>
          </w:p>
        </w:tc>
        <w:tc>
          <w:tcPr>
            <w:tcW w:type="dxa" w:w="58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sz w:val="20"/>
                <w:szCs w:val="20"/>
              </w:rPr>
              <w:t xml:space="preserve">£120,000,000 (fully diluted, inclusive of the enlarged option pool referred to below).</w:t>
            </w:r>
          </w:p>
        </w:tc>
      </w:tr>
      <w:tr>
        <w:tc>
          <w:tcPr>
            <w:tcW w:type="dxa" w:w="3200"/>
            <w:tcBorders>
              <w:top w:val="single" w:color="999999" w:sz="1"/>
              <w:left w:val="single" w:color="999999" w:sz="1"/>
              <w:bottom w:val="single" w:color="999999" w:sz="1"/>
              <w:right w:val="single" w:color="999999" w:sz="1"/>
            </w:tcBorders>
            <w:shd w:fill="EAF1F8" w:val="clear"/>
            <w:tcMar>
              <w:top w:type="dxa" w:w="60"/>
              <w:left w:type="dxa" w:w="100"/>
              <w:bottom w:type="dxa" w:w="60"/>
              <w:right w:type="dxa" w:w="100"/>
            </w:tcMar>
          </w:tcPr>
          <w:p>
            <w:r>
              <w:rPr>
                <w:b/>
                <w:bCs/>
                <w:sz w:val="20"/>
                <w:szCs w:val="20"/>
              </w:rPr>
              <w:t xml:space="preserve">New Investment</w:t>
            </w:r>
          </w:p>
        </w:tc>
        <w:tc>
          <w:tcPr>
            <w:tcW w:type="dxa" w:w="58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sz w:val="20"/>
                <w:szCs w:val="20"/>
              </w:rPr>
              <w:t xml:space="preserve">£30,000,000 in aggregate, of which Marisdale shall subscribe not less than £25,000,000 and existing investors up to £5,000,000.</w:t>
            </w:r>
          </w:p>
        </w:tc>
      </w:tr>
      <w:tr>
        <w:tc>
          <w:tcPr>
            <w:tcW w:type="dxa" w:w="3200"/>
            <w:tcBorders>
              <w:top w:val="single" w:color="999999" w:sz="1"/>
              <w:left w:val="single" w:color="999999" w:sz="1"/>
              <w:bottom w:val="single" w:color="999999" w:sz="1"/>
              <w:right w:val="single" w:color="999999" w:sz="1"/>
            </w:tcBorders>
            <w:shd w:fill="EAF1F8" w:val="clear"/>
            <w:tcMar>
              <w:top w:type="dxa" w:w="60"/>
              <w:left w:type="dxa" w:w="100"/>
              <w:bottom w:type="dxa" w:w="60"/>
              <w:right w:type="dxa" w:w="100"/>
            </w:tcMar>
          </w:tcPr>
          <w:p>
            <w:r>
              <w:rPr>
                <w:b/>
                <w:bCs/>
                <w:sz w:val="20"/>
                <w:szCs w:val="20"/>
              </w:rPr>
              <w:t xml:space="preserve">Post-Money Valuation</w:t>
            </w:r>
          </w:p>
        </w:tc>
        <w:tc>
          <w:tcPr>
            <w:tcW w:type="dxa" w:w="58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sz w:val="20"/>
                <w:szCs w:val="20"/>
              </w:rPr>
              <w:t xml:space="preserve">£150,000,000.</w:t>
            </w:r>
          </w:p>
        </w:tc>
      </w:tr>
      <w:tr>
        <w:tc>
          <w:tcPr>
            <w:tcW w:type="dxa" w:w="3200"/>
            <w:tcBorders>
              <w:top w:val="single" w:color="999999" w:sz="1"/>
              <w:left w:val="single" w:color="999999" w:sz="1"/>
              <w:bottom w:val="single" w:color="999999" w:sz="1"/>
              <w:right w:val="single" w:color="999999" w:sz="1"/>
            </w:tcBorders>
            <w:shd w:fill="EAF1F8" w:val="clear"/>
            <w:tcMar>
              <w:top w:type="dxa" w:w="60"/>
              <w:left w:type="dxa" w:w="100"/>
              <w:bottom w:type="dxa" w:w="60"/>
              <w:right w:type="dxa" w:w="100"/>
            </w:tcMar>
          </w:tcPr>
          <w:p>
            <w:r>
              <w:rPr>
                <w:b/>
                <w:bCs/>
                <w:sz w:val="20"/>
                <w:szCs w:val="20"/>
              </w:rPr>
              <w:t xml:space="preserve">Price per Share</w:t>
            </w:r>
          </w:p>
        </w:tc>
        <w:tc>
          <w:tcPr>
            <w:tcW w:type="dxa" w:w="58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sz w:val="20"/>
                <w:szCs w:val="20"/>
              </w:rPr>
              <w:t xml:space="preserve">£15.00 per Series C Share (the “Issue Price”).</w:t>
            </w:r>
          </w:p>
        </w:tc>
      </w:tr>
      <w:tr>
        <w:tc>
          <w:tcPr>
            <w:tcW w:type="dxa" w:w="3200"/>
            <w:tcBorders>
              <w:top w:val="single" w:color="999999" w:sz="1"/>
              <w:left w:val="single" w:color="999999" w:sz="1"/>
              <w:bottom w:val="single" w:color="999999" w:sz="1"/>
              <w:right w:val="single" w:color="999999" w:sz="1"/>
            </w:tcBorders>
            <w:shd w:fill="EAF1F8" w:val="clear"/>
            <w:tcMar>
              <w:top w:type="dxa" w:w="60"/>
              <w:left w:type="dxa" w:w="100"/>
              <w:bottom w:type="dxa" w:w="60"/>
              <w:right w:type="dxa" w:w="100"/>
            </w:tcMar>
          </w:tcPr>
          <w:p>
            <w:r>
              <w:rPr>
                <w:b/>
                <w:bCs/>
                <w:sz w:val="20"/>
                <w:szCs w:val="20"/>
              </w:rPr>
              <w:t xml:space="preserve">New Series C Shares</w:t>
            </w:r>
          </w:p>
        </w:tc>
        <w:tc>
          <w:tcPr>
            <w:tcW w:type="dxa" w:w="58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sz w:val="20"/>
                <w:szCs w:val="20"/>
              </w:rPr>
              <w:t xml:space="preserve">2,000,000 Series C Shares, representing 20.0% of the fully diluted share capital on completion.</w:t>
            </w:r>
          </w:p>
        </w:tc>
      </w:tr>
      <w:tr>
        <w:tc>
          <w:tcPr>
            <w:tcW w:type="dxa" w:w="3200"/>
            <w:tcBorders>
              <w:top w:val="single" w:color="999999" w:sz="1"/>
              <w:left w:val="single" w:color="999999" w:sz="1"/>
              <w:bottom w:val="single" w:color="999999" w:sz="1"/>
              <w:right w:val="single" w:color="999999" w:sz="1"/>
            </w:tcBorders>
            <w:shd w:fill="EAF1F8" w:val="clear"/>
            <w:tcMar>
              <w:top w:type="dxa" w:w="60"/>
              <w:left w:type="dxa" w:w="100"/>
              <w:bottom w:type="dxa" w:w="60"/>
              <w:right w:type="dxa" w:w="100"/>
            </w:tcMar>
          </w:tcPr>
          <w:p>
            <w:r>
              <w:rPr>
                <w:b/>
                <w:bCs/>
                <w:sz w:val="20"/>
                <w:szCs w:val="20"/>
              </w:rPr>
              <w:t xml:space="preserve">Option Pool</w:t>
            </w:r>
          </w:p>
        </w:tc>
        <w:tc>
          <w:tcPr>
            <w:tcW w:type="dxa" w:w="58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sz w:val="20"/>
                <w:szCs w:val="20"/>
              </w:rPr>
              <w:t xml:space="preserve">The EMI option pool shall be increased to 12.0% of the fully diluted post-completion share capital, the increase to be effected pre-money.</w:t>
            </w:r>
          </w:p>
        </w:tc>
      </w:tr>
      <w:tr>
        <w:tc>
          <w:tcPr>
            <w:tcW w:type="dxa" w:w="3200"/>
            <w:tcBorders>
              <w:top w:val="single" w:color="999999" w:sz="1"/>
              <w:left w:val="single" w:color="999999" w:sz="1"/>
              <w:bottom w:val="single" w:color="999999" w:sz="1"/>
              <w:right w:val="single" w:color="999999" w:sz="1"/>
            </w:tcBorders>
            <w:shd w:fill="EAF1F8" w:val="clear"/>
            <w:tcMar>
              <w:top w:type="dxa" w:w="60"/>
              <w:left w:type="dxa" w:w="100"/>
              <w:bottom w:type="dxa" w:w="60"/>
              <w:right w:type="dxa" w:w="100"/>
            </w:tcMar>
          </w:tcPr>
          <w:p>
            <w:r>
              <w:rPr>
                <w:b/>
                <w:bCs/>
                <w:sz w:val="20"/>
                <w:szCs w:val="20"/>
              </w:rPr>
              <w:t xml:space="preserve">Liquidation Preference</w:t>
            </w:r>
          </w:p>
        </w:tc>
        <w:tc>
          <w:tcPr>
            <w:tcW w:type="dxa" w:w="58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sz w:val="20"/>
                <w:szCs w:val="20"/>
              </w:rPr>
              <w:t xml:space="preserve">1.0x non-participating, with the Series C ranking ahead of Series B and all junior classes; senior preference cascade as set out in the amended Articles.</w:t>
            </w:r>
          </w:p>
        </w:tc>
      </w:tr>
      <w:tr>
        <w:tc>
          <w:tcPr>
            <w:tcW w:type="dxa" w:w="3200"/>
            <w:tcBorders>
              <w:top w:val="single" w:color="999999" w:sz="1"/>
              <w:left w:val="single" w:color="999999" w:sz="1"/>
              <w:bottom w:val="single" w:color="999999" w:sz="1"/>
              <w:right w:val="single" w:color="999999" w:sz="1"/>
            </w:tcBorders>
            <w:shd w:fill="EAF1F8" w:val="clear"/>
            <w:tcMar>
              <w:top w:type="dxa" w:w="60"/>
              <w:left w:type="dxa" w:w="100"/>
              <w:bottom w:type="dxa" w:w="60"/>
              <w:right w:type="dxa" w:w="100"/>
            </w:tcMar>
          </w:tcPr>
          <w:p>
            <w:r>
              <w:rPr>
                <w:b/>
                <w:bCs/>
                <w:sz w:val="20"/>
                <w:szCs w:val="20"/>
              </w:rPr>
              <w:t xml:space="preserve">Anti-Dilution</w:t>
            </w:r>
          </w:p>
        </w:tc>
        <w:tc>
          <w:tcPr>
            <w:tcW w:type="dxa" w:w="58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sz w:val="20"/>
                <w:szCs w:val="20"/>
              </w:rPr>
              <w:t xml:space="preserve">Broad-based weighted average adjustment for the Series C Shares.</w:t>
            </w:r>
          </w:p>
        </w:tc>
      </w:tr>
      <w:tr>
        <w:tc>
          <w:tcPr>
            <w:tcW w:type="dxa" w:w="3200"/>
            <w:tcBorders>
              <w:top w:val="single" w:color="999999" w:sz="1"/>
              <w:left w:val="single" w:color="999999" w:sz="1"/>
              <w:bottom w:val="single" w:color="999999" w:sz="1"/>
              <w:right w:val="single" w:color="999999" w:sz="1"/>
            </w:tcBorders>
            <w:shd w:fill="EAF1F8" w:val="clear"/>
            <w:tcMar>
              <w:top w:type="dxa" w:w="60"/>
              <w:left w:type="dxa" w:w="100"/>
              <w:bottom w:type="dxa" w:w="60"/>
              <w:right w:type="dxa" w:w="100"/>
            </w:tcMar>
          </w:tcPr>
          <w:p>
            <w:r>
              <w:rPr>
                <w:b/>
                <w:bCs/>
                <w:sz w:val="20"/>
                <w:szCs w:val="20"/>
              </w:rPr>
              <w:t xml:space="preserve">Dividends</w:t>
            </w:r>
          </w:p>
        </w:tc>
        <w:tc>
          <w:tcPr>
            <w:tcW w:type="dxa" w:w="58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sz w:val="20"/>
                <w:szCs w:val="20"/>
              </w:rPr>
              <w:t xml:space="preserve">Non-cumulative; payable only if and when declared by the board, with Series C entitled in priority to junior classes.</w:t>
            </w:r>
          </w:p>
        </w:tc>
      </w:tr>
      <w:tr>
        <w:tc>
          <w:tcPr>
            <w:tcW w:type="dxa" w:w="3200"/>
            <w:tcBorders>
              <w:top w:val="single" w:color="999999" w:sz="1"/>
              <w:left w:val="single" w:color="999999" w:sz="1"/>
              <w:bottom w:val="single" w:color="999999" w:sz="1"/>
              <w:right w:val="single" w:color="999999" w:sz="1"/>
            </w:tcBorders>
            <w:shd w:fill="EAF1F8" w:val="clear"/>
            <w:tcMar>
              <w:top w:type="dxa" w:w="60"/>
              <w:left w:type="dxa" w:w="100"/>
              <w:bottom w:type="dxa" w:w="60"/>
              <w:right w:type="dxa" w:w="100"/>
            </w:tcMar>
          </w:tcPr>
          <w:p>
            <w:r>
              <w:rPr>
                <w:b/>
                <w:bCs/>
                <w:sz w:val="20"/>
                <w:szCs w:val="20"/>
              </w:rPr>
              <w:t xml:space="preserve">Board</w:t>
            </w:r>
          </w:p>
        </w:tc>
        <w:tc>
          <w:tcPr>
            <w:tcW w:type="dxa" w:w="58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sz w:val="20"/>
                <w:szCs w:val="20"/>
              </w:rPr>
              <w:t xml:space="preserve">Board of five: two founder directors, the Series B investor director (Ravensworth), one Series C investor director nominated by Marisdale, and one independent non-executive to be agreed.</w:t>
            </w:r>
          </w:p>
        </w:tc>
      </w:tr>
      <w:tr>
        <w:tc>
          <w:tcPr>
            <w:tcW w:type="dxa" w:w="3200"/>
            <w:tcBorders>
              <w:top w:val="single" w:color="999999" w:sz="1"/>
              <w:left w:val="single" w:color="999999" w:sz="1"/>
              <w:bottom w:val="single" w:color="999999" w:sz="1"/>
              <w:right w:val="single" w:color="999999" w:sz="1"/>
            </w:tcBorders>
            <w:shd w:fill="EAF1F8" w:val="clear"/>
            <w:tcMar>
              <w:top w:type="dxa" w:w="60"/>
              <w:left w:type="dxa" w:w="100"/>
              <w:bottom w:type="dxa" w:w="60"/>
              <w:right w:type="dxa" w:w="100"/>
            </w:tcMar>
          </w:tcPr>
          <w:p>
            <w:r>
              <w:rPr>
                <w:b/>
                <w:bCs/>
                <w:sz w:val="20"/>
                <w:szCs w:val="20"/>
              </w:rPr>
              <w:t xml:space="preserve">Investor Consents</w:t>
            </w:r>
          </w:p>
        </w:tc>
        <w:tc>
          <w:tcPr>
            <w:tcW w:type="dxa" w:w="58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sz w:val="20"/>
                <w:szCs w:val="20"/>
              </w:rPr>
              <w:t xml:space="preserve">Customary list of reserved matters requiring Series C Majority and Series B consent (budget, borrowing above £1m, M&amp;A, share issues, related-party transactions, senior hires).</w:t>
            </w:r>
          </w:p>
        </w:tc>
      </w:tr>
      <w:tr>
        <w:tc>
          <w:tcPr>
            <w:tcW w:type="dxa" w:w="3200"/>
            <w:tcBorders>
              <w:top w:val="single" w:color="999999" w:sz="1"/>
              <w:left w:val="single" w:color="999999" w:sz="1"/>
              <w:bottom w:val="single" w:color="999999" w:sz="1"/>
              <w:right w:val="single" w:color="999999" w:sz="1"/>
            </w:tcBorders>
            <w:shd w:fill="EAF1F8" w:val="clear"/>
            <w:tcMar>
              <w:top w:type="dxa" w:w="60"/>
              <w:left w:type="dxa" w:w="100"/>
              <w:bottom w:type="dxa" w:w="60"/>
              <w:right w:type="dxa" w:w="100"/>
            </w:tcMar>
          </w:tcPr>
          <w:p>
            <w:r>
              <w:rPr>
                <w:b/>
                <w:bCs/>
                <w:sz w:val="20"/>
                <w:szCs w:val="20"/>
              </w:rPr>
              <w:t xml:space="preserve">Information Rights</w:t>
            </w:r>
          </w:p>
        </w:tc>
        <w:tc>
          <w:tcPr>
            <w:tcW w:type="dxa" w:w="58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sz w:val="20"/>
                <w:szCs w:val="20"/>
              </w:rPr>
              <w:t xml:space="preserve">Monthly management accounts, annual audited accounts, annual board-approved budget, and customary inspection rights for holders of 3%+.</w:t>
            </w:r>
          </w:p>
        </w:tc>
      </w:tr>
      <w:tr>
        <w:tc>
          <w:tcPr>
            <w:tcW w:type="dxa" w:w="3200"/>
            <w:tcBorders>
              <w:top w:val="single" w:color="999999" w:sz="1"/>
              <w:left w:val="single" w:color="999999" w:sz="1"/>
              <w:bottom w:val="single" w:color="999999" w:sz="1"/>
              <w:right w:val="single" w:color="999999" w:sz="1"/>
            </w:tcBorders>
            <w:shd w:fill="EAF1F8" w:val="clear"/>
            <w:tcMar>
              <w:top w:type="dxa" w:w="60"/>
              <w:left w:type="dxa" w:w="100"/>
              <w:bottom w:type="dxa" w:w="60"/>
              <w:right w:type="dxa" w:w="100"/>
            </w:tcMar>
          </w:tcPr>
          <w:p>
            <w:r>
              <w:rPr>
                <w:b/>
                <w:bCs/>
                <w:sz w:val="20"/>
                <w:szCs w:val="20"/>
              </w:rPr>
              <w:t xml:space="preserve">Pre-emption / ROFR</w:t>
            </w:r>
          </w:p>
        </w:tc>
        <w:tc>
          <w:tcPr>
            <w:tcW w:type="dxa" w:w="58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sz w:val="20"/>
                <w:szCs w:val="20"/>
              </w:rPr>
              <w:t xml:space="preserve">Pro-rata pre-emption on new issues; rights of first refusal and co-sale on transfers; customary drag (75% + investor majority) and tag along.</w:t>
            </w:r>
          </w:p>
        </w:tc>
      </w:tr>
      <w:tr>
        <w:tc>
          <w:tcPr>
            <w:tcW w:type="dxa" w:w="3200"/>
            <w:tcBorders>
              <w:top w:val="single" w:color="999999" w:sz="1"/>
              <w:left w:val="single" w:color="999999" w:sz="1"/>
              <w:bottom w:val="single" w:color="999999" w:sz="1"/>
              <w:right w:val="single" w:color="999999" w:sz="1"/>
            </w:tcBorders>
            <w:shd w:fill="EAF1F8" w:val="clear"/>
            <w:tcMar>
              <w:top w:type="dxa" w:w="60"/>
              <w:left w:type="dxa" w:w="100"/>
              <w:bottom w:type="dxa" w:w="60"/>
              <w:right w:type="dxa" w:w="100"/>
            </w:tcMar>
          </w:tcPr>
          <w:p>
            <w:r>
              <w:rPr>
                <w:b/>
                <w:bCs/>
                <w:sz w:val="20"/>
                <w:szCs w:val="20"/>
              </w:rPr>
              <w:t xml:space="preserve">Founder Vesting</w:t>
            </w:r>
          </w:p>
        </w:tc>
        <w:tc>
          <w:tcPr>
            <w:tcW w:type="dxa" w:w="58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sz w:val="20"/>
                <w:szCs w:val="20"/>
              </w:rPr>
              <w:t xml:space="preserve">Founder shares subject to reverse vesting reset over 36 months with good/bad leaver provisions; 12-month single-trigger acceleration on a change of control.</w:t>
            </w:r>
          </w:p>
        </w:tc>
      </w:tr>
      <w:tr>
        <w:tc>
          <w:tcPr>
            <w:tcW w:type="dxa" w:w="3200"/>
            <w:tcBorders>
              <w:top w:val="single" w:color="999999" w:sz="1"/>
              <w:left w:val="single" w:color="999999" w:sz="1"/>
              <w:bottom w:val="single" w:color="999999" w:sz="1"/>
              <w:right w:val="single" w:color="999999" w:sz="1"/>
            </w:tcBorders>
            <w:shd w:fill="EAF1F8" w:val="clear"/>
            <w:tcMar>
              <w:top w:type="dxa" w:w="60"/>
              <w:left w:type="dxa" w:w="100"/>
              <w:bottom w:type="dxa" w:w="60"/>
              <w:right w:type="dxa" w:w="100"/>
            </w:tcMar>
          </w:tcPr>
          <w:p>
            <w:r>
              <w:rPr>
                <w:b/>
                <w:bCs/>
                <w:sz w:val="20"/>
                <w:szCs w:val="20"/>
              </w:rPr>
              <w:t xml:space="preserve">Warranties</w:t>
            </w:r>
          </w:p>
        </w:tc>
        <w:tc>
          <w:tcPr>
            <w:tcW w:type="dxa" w:w="58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sz w:val="20"/>
                <w:szCs w:val="20"/>
              </w:rPr>
              <w:t xml:space="preserve">Customary business and tax warranties from the Company and limited warranties from the Founders, subject to a disclosure letter and the limitations in the Subscription Agreement.</w:t>
            </w:r>
          </w:p>
        </w:tc>
      </w:tr>
      <w:tr>
        <w:tc>
          <w:tcPr>
            <w:tcW w:type="dxa" w:w="3200"/>
            <w:tcBorders>
              <w:top w:val="single" w:color="999999" w:sz="1"/>
              <w:left w:val="single" w:color="999999" w:sz="1"/>
              <w:bottom w:val="single" w:color="999999" w:sz="1"/>
              <w:right w:val="single" w:color="999999" w:sz="1"/>
            </w:tcBorders>
            <w:shd w:fill="EAF1F8" w:val="clear"/>
            <w:tcMar>
              <w:top w:type="dxa" w:w="60"/>
              <w:left w:type="dxa" w:w="100"/>
              <w:bottom w:type="dxa" w:w="60"/>
              <w:right w:type="dxa" w:w="100"/>
            </w:tcMar>
          </w:tcPr>
          <w:p>
            <w:r>
              <w:rPr>
                <w:b/>
                <w:bCs/>
                <w:sz w:val="20"/>
                <w:szCs w:val="20"/>
              </w:rPr>
              <w:t xml:space="preserve">Conditions</w:t>
            </w:r>
          </w:p>
        </w:tc>
        <w:tc>
          <w:tcPr>
            <w:tcW w:type="dxa" w:w="58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sz w:val="20"/>
                <w:szCs w:val="20"/>
              </w:rPr>
              <w:t xml:space="preserve">Satisfactory legal, financial and technical due diligence; adoption of amended Articles; entry into the Investors’ Rights Agreement; board and shareholder approvals.</w:t>
            </w:r>
          </w:p>
        </w:tc>
      </w:tr>
      <w:tr>
        <w:tc>
          <w:tcPr>
            <w:tcW w:type="dxa" w:w="3200"/>
            <w:tcBorders>
              <w:top w:val="single" w:color="999999" w:sz="1"/>
              <w:left w:val="single" w:color="999999" w:sz="1"/>
              <w:bottom w:val="single" w:color="999999" w:sz="1"/>
              <w:right w:val="single" w:color="999999" w:sz="1"/>
            </w:tcBorders>
            <w:shd w:fill="EAF1F8" w:val="clear"/>
            <w:tcMar>
              <w:top w:type="dxa" w:w="60"/>
              <w:left w:type="dxa" w:w="100"/>
              <w:bottom w:type="dxa" w:w="60"/>
              <w:right w:type="dxa" w:w="100"/>
            </w:tcMar>
          </w:tcPr>
          <w:p>
            <w:r>
              <w:rPr>
                <w:b/>
                <w:bCs/>
                <w:sz w:val="20"/>
                <w:szCs w:val="20"/>
              </w:rPr>
              <w:t xml:space="preserve">Exclusivity (binding)</w:t>
            </w:r>
          </w:p>
        </w:tc>
        <w:tc>
          <w:tcPr>
            <w:tcW w:type="dxa" w:w="58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sz w:val="20"/>
                <w:szCs w:val="20"/>
              </w:rPr>
              <w:t xml:space="preserve">The Company grants Marisdale exclusivity until 30 June 2026 (the “Exclusivity Period”), during which it shall not solicit or negotiate any competing financing or sale.</w:t>
            </w:r>
          </w:p>
        </w:tc>
      </w:tr>
      <w:tr>
        <w:tc>
          <w:tcPr>
            <w:tcW w:type="dxa" w:w="3200"/>
            <w:tcBorders>
              <w:top w:val="single" w:color="999999" w:sz="1"/>
              <w:left w:val="single" w:color="999999" w:sz="1"/>
              <w:bottom w:val="single" w:color="999999" w:sz="1"/>
              <w:right w:val="single" w:color="999999" w:sz="1"/>
            </w:tcBorders>
            <w:shd w:fill="EAF1F8" w:val="clear"/>
            <w:tcMar>
              <w:top w:type="dxa" w:w="60"/>
              <w:left w:type="dxa" w:w="100"/>
              <w:bottom w:type="dxa" w:w="60"/>
              <w:right w:type="dxa" w:w="100"/>
            </w:tcMar>
          </w:tcPr>
          <w:p>
            <w:r>
              <w:rPr>
                <w:b/>
                <w:bCs/>
                <w:sz w:val="20"/>
                <w:szCs w:val="20"/>
              </w:rPr>
              <w:t xml:space="preserve">Costs (binding)</w:t>
            </w:r>
          </w:p>
        </w:tc>
        <w:tc>
          <w:tcPr>
            <w:tcW w:type="dxa" w:w="58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sz w:val="20"/>
                <w:szCs w:val="20"/>
              </w:rPr>
              <w:t xml:space="preserve">Each party bears its own costs, save that the Company shall contribute up to £75,000 (plus VAT) towards the Lead Investor’s reasonable legal fees on completion.</w:t>
            </w:r>
          </w:p>
        </w:tc>
      </w:tr>
      <w:tr>
        <w:tc>
          <w:tcPr>
            <w:tcW w:type="dxa" w:w="3200"/>
            <w:tcBorders>
              <w:top w:val="single" w:color="999999" w:sz="1"/>
              <w:left w:val="single" w:color="999999" w:sz="1"/>
              <w:bottom w:val="single" w:color="999999" w:sz="1"/>
              <w:right w:val="single" w:color="999999" w:sz="1"/>
            </w:tcBorders>
            <w:shd w:fill="EAF1F8" w:val="clear"/>
            <w:tcMar>
              <w:top w:type="dxa" w:w="60"/>
              <w:left w:type="dxa" w:w="100"/>
              <w:bottom w:type="dxa" w:w="60"/>
              <w:right w:type="dxa" w:w="100"/>
            </w:tcMar>
          </w:tcPr>
          <w:p>
            <w:r>
              <w:rPr>
                <w:b/>
                <w:bCs/>
                <w:sz w:val="20"/>
                <w:szCs w:val="20"/>
              </w:rPr>
              <w:t xml:space="preserve">Confidentiality (binding)</w:t>
            </w:r>
          </w:p>
        </w:tc>
        <w:tc>
          <w:tcPr>
            <w:tcW w:type="dxa" w:w="58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sz w:val="20"/>
                <w:szCs w:val="20"/>
              </w:rPr>
              <w:t xml:space="preserve">The existence and terms of this Term Sheet are confidential and subject to the mutual NDA dated 28 March 2026.</w:t>
            </w:r>
          </w:p>
        </w:tc>
      </w:tr>
      <w:tr>
        <w:tc>
          <w:tcPr>
            <w:tcW w:type="dxa" w:w="3200"/>
            <w:tcBorders>
              <w:top w:val="single" w:color="999999" w:sz="1"/>
              <w:left w:val="single" w:color="999999" w:sz="1"/>
              <w:bottom w:val="single" w:color="999999" w:sz="1"/>
              <w:right w:val="single" w:color="999999" w:sz="1"/>
            </w:tcBorders>
            <w:shd w:fill="EAF1F8" w:val="clear"/>
            <w:tcMar>
              <w:top w:type="dxa" w:w="60"/>
              <w:left w:type="dxa" w:w="100"/>
              <w:bottom w:type="dxa" w:w="60"/>
              <w:right w:type="dxa" w:w="100"/>
            </w:tcMar>
          </w:tcPr>
          <w:p>
            <w:r>
              <w:rPr>
                <w:b/>
                <w:bCs/>
                <w:sz w:val="20"/>
                <w:szCs w:val="20"/>
              </w:rPr>
              <w:t xml:space="preserve">Governing Law (binding)</w:t>
            </w:r>
          </w:p>
        </w:tc>
        <w:tc>
          <w:tcPr>
            <w:tcW w:type="dxa" w:w="58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sz w:val="20"/>
                <w:szCs w:val="20"/>
              </w:rPr>
              <w:t xml:space="preserve">English law; courts of England and Wales have exclusive jurisdiction.</w:t>
            </w:r>
          </w:p>
        </w:tc>
      </w:tr>
      <w:tr>
        <w:tc>
          <w:tcPr>
            <w:tcW w:type="dxa" w:w="3200"/>
            <w:tcBorders>
              <w:top w:val="single" w:color="999999" w:sz="1"/>
              <w:left w:val="single" w:color="999999" w:sz="1"/>
              <w:bottom w:val="single" w:color="999999" w:sz="1"/>
              <w:right w:val="single" w:color="999999" w:sz="1"/>
            </w:tcBorders>
            <w:shd w:fill="EAF1F8" w:val="clear"/>
            <w:tcMar>
              <w:top w:type="dxa" w:w="60"/>
              <w:left w:type="dxa" w:w="100"/>
              <w:bottom w:type="dxa" w:w="60"/>
              <w:right w:type="dxa" w:w="100"/>
            </w:tcMar>
          </w:tcPr>
          <w:p>
            <w:r>
              <w:rPr>
                <w:b/>
                <w:bCs/>
                <w:sz w:val="20"/>
                <w:szCs w:val="20"/>
              </w:rPr>
              <w:t xml:space="preserve">Target Completion</w:t>
            </w:r>
          </w:p>
        </w:tc>
        <w:tc>
          <w:tcPr>
            <w:tcW w:type="dxa" w:w="58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sz w:val="20"/>
                <w:szCs w:val="20"/>
              </w:rPr>
              <w:t xml:space="preserve">On or before 19 June 2026.</w:t>
            </w:r>
          </w:p>
        </w:tc>
      </w:tr>
      <w:tr>
        <w:tc>
          <w:tcPr>
            <w:tcW w:type="dxa" w:w="3200"/>
            <w:tcBorders>
              <w:top w:val="single" w:color="999999" w:sz="1"/>
              <w:left w:val="single" w:color="999999" w:sz="1"/>
              <w:bottom w:val="single" w:color="999999" w:sz="1"/>
              <w:right w:val="single" w:color="999999" w:sz="1"/>
            </w:tcBorders>
            <w:shd w:fill="EAF1F8" w:val="clear"/>
            <w:tcMar>
              <w:top w:type="dxa" w:w="60"/>
              <w:left w:type="dxa" w:w="100"/>
              <w:bottom w:type="dxa" w:w="60"/>
              <w:right w:type="dxa" w:w="100"/>
            </w:tcMar>
          </w:tcPr>
          <w:p>
            <w:r>
              <w:rPr>
                <w:b/>
                <w:bCs/>
                <w:sz w:val="20"/>
                <w:szCs w:val="20"/>
              </w:rPr>
              <w:t xml:space="preserve">Advisers</w:t>
            </w:r>
          </w:p>
        </w:tc>
        <w:tc>
          <w:tcPr>
            <w:tcW w:type="dxa" w:w="58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sz w:val="20"/>
                <w:szCs w:val="20"/>
              </w:rPr>
              <w:t xml:space="preserve">Company: Whitfield Carter LLP (Sarah Whitfield / James Osei). Lead Investor: Hargrove &amp; Associates LLP.</w:t>
            </w:r>
          </w:p>
        </w:tc>
      </w:tr>
    </w:tbl>
    <w:p>
      <w:pPr>
        <w:spacing w:after="120" w:before="240"/>
      </w:pPr>
      <w:r>
        <w:rPr>
          <w:b/>
          <w:bCs/>
        </w:rPr>
        <w:t xml:space="preserve">Agreed in principle, subject to contract:</w:t>
      </w:r>
    </w:p>
    <w:p>
      <w:pPr>
        <w:spacing w:after="120"/>
      </w:pPr>
      <w:r>
        <w:t xml:space="preserve">For and on behalf of Caspian Technologies Limited:</w:t>
      </w:r>
    </w:p>
    <w:p>
      <w:pPr>
        <w:spacing w:after="120"/>
      </w:pPr>
      <w:r>
        <w:t xml:space="preserve">__________________________________</w:t>
      </w:r>
    </w:p>
    <w:p>
      <w:pPr>
        <w:spacing w:after="120"/>
      </w:pPr>
      <w:r>
        <w:t xml:space="preserve">Henry Larsson — Chief Executive Officer</w:t>
      </w:r>
    </w:p>
    <w:p>
      <w:pPr>
        <w:spacing w:before="120"/>
      </w:pPr>
      <w:r>
        <w:t xml:space="preserve">For and on behalf of Marisdale Growth Partners LLP:</w:t>
      </w:r>
    </w:p>
    <w:p>
      <w:pPr>
        <w:spacing w:after="120"/>
      </w:pPr>
      <w:r>
        <w:t xml:space="preserve">__________________________________</w:t>
      </w:r>
    </w:p>
    <w:p>
      <w:pPr>
        <w:spacing w:after="120"/>
      </w:pPr>
      <w:r>
        <w:t xml:space="preserve">Eleanor Whitmore — Partner</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4"/>
        <w:szCs w:val="14"/>
      </w:rPr>
      <w:t xml:space="preserve">Whitfield Carter LLP — Confidential and may be legally privileged.</w:t>
    </w:r>
  </w:p>
  <w:p>
    <w:pPr>
      <w:jc w:val="center"/>
    </w:pPr>
    <w:r>
      <w:rPr>
        <w:sz w:val="14"/>
        <w:szCs w:val="14"/>
      </w:rPr>
      <w:t xml:space="preserve">Page </w:t>
    </w:r>
    <w:r>
      <w:rPr>
        <w:sz w:val="14"/>
        <w:szCs w:val="14"/>
      </w:rPr>
      <w:fldChar w:fldCharType="begin"/>
      <w:instrText xml:space="preserve">PAGE</w:instrText>
      <w:fldChar w:fldCharType="separate"/>
      <w:fldChar w:fldCharType="end"/>
    </w:r>
    <w:r>
      <w:rPr>
        <w:sz w:val="14"/>
        <w:szCs w:val="14"/>
      </w:rPr>
      <w:t xml:space="preserve"> of </w:t>
    </w:r>
    <w:r>
      <w:rPr>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b/>
        <w:bCs/>
        <w:sz w:val="26"/>
        <w:szCs w:val="26"/>
      </w:rPr>
      <w:t xml:space="preserve">WHITFIELD CARTER LLP</w:t>
    </w:r>
  </w:p>
  <w:p>
    <w:pPr>
      <w:spacing w:after="0"/>
      <w:jc w:val="right"/>
    </w:pPr>
    <w:r>
      <w:rPr>
        <w:sz w:val="16"/>
        <w:szCs w:val="16"/>
      </w:rPr>
      <w:t xml:space="preserve">22 Bishopsgate, London EC2N 4BQ</w:t>
    </w:r>
  </w:p>
  <w:p>
    <w:pPr>
      <w:pBdr>
        <w:bottom w:val="single" w:color="1F3864" w:sz="6" w:space="4"/>
      </w:pBdr>
      <w:spacing w:after="120"/>
      <w:jc w:val="right"/>
    </w:pPr>
    <w:r>
      <w:rPr>
        <w:sz w:val="16"/>
        <w:szCs w:val="16"/>
      </w:rPr>
      <w:t xml:space="preserve">www.whitfieldcarter.com  |  +44 (0)20 7946 0500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8"/>
      <w:szCs w:val="28"/>
    </w:rPr>
  </w:style>
  <w:style w:type="paragraph" w:styleId="Heading2">
    <w:name w:val="Heading 2"/>
    <w:basedOn w:val="Normal"/>
    <w:next w:val="Normal"/>
    <w:qFormat/>
    <w:pPr>
      <w:spacing w:after="100" w:before="1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2026-06-20T20:09:21.069Z</dcterms:created>
  <dcterms:modified xsi:type="dcterms:W3CDTF">2026-06-20T20:09:21.070Z</dcterms:modified>
</cp:coreProperties>
</file>

<file path=docProps/custom.xml><?xml version="1.0" encoding="utf-8"?>
<Properties xmlns="http://schemas.openxmlformats.org/officeDocument/2006/custom-properties" xmlns:vt="http://schemas.openxmlformats.org/officeDocument/2006/docPropsVTypes"/>
</file>